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72D" w:rsidRDefault="00F6385C" w:rsidP="00F6385C">
      <w:pPr>
        <w:pStyle w:val="Pagedecouverture"/>
      </w:pPr>
      <w:bookmarkStart w:id="0" w:name="L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9D5E61A-65B4-4958-A0A3-1E6BEF2E4488" style="width:450.35pt;height:293.45pt">
            <v:imagedata r:id="rId9" o:title=""/>
          </v:shape>
        </w:pict>
      </w:r>
    </w:p>
    <w:bookmarkEnd w:id="0"/>
    <w:p w:rsidR="00D9472D" w:rsidRDefault="00D9472D">
      <w:pPr>
        <w:sectPr w:rsidR="00D9472D" w:rsidSect="00F6385C">
          <w:headerReference w:type="even" r:id="rId10"/>
          <w:headerReference w:type="default" r:id="rId11"/>
          <w:footerReference w:type="even" r:id="rId12"/>
          <w:footerReference w:type="default" r:id="rId13"/>
          <w:headerReference w:type="first" r:id="rId14"/>
          <w:footerReference w:type="first" r:id="rId15"/>
          <w:pgSz w:w="11900" w:h="16840" w:code="9"/>
          <w:pgMar w:top="1134" w:right="1417" w:bottom="1134" w:left="1417" w:header="709" w:footer="709" w:gutter="0"/>
          <w:pgNumType w:start="0"/>
          <w:cols w:space="720"/>
          <w:docGrid w:linePitch="360"/>
        </w:sectPr>
      </w:pPr>
    </w:p>
    <w:p w:rsidR="00D9472D" w:rsidRDefault="00D9472D">
      <w:pPr>
        <w:spacing w:after="120"/>
        <w:rPr>
          <w:sz w:val="24"/>
        </w:rPr>
      </w:pPr>
    </w:p>
    <w:p w:rsidR="00D9472D" w:rsidRDefault="00D9472D">
      <w:pPr>
        <w:spacing w:after="120"/>
        <w:rPr>
          <w:sz w:val="24"/>
        </w:rPr>
      </w:pPr>
    </w:p>
    <w:p w:rsidR="00D9472D" w:rsidRDefault="002E5D08">
      <w:pPr>
        <w:jc w:val="center"/>
        <w:outlineLvl w:val="0"/>
        <w:rPr>
          <w:b/>
          <w:bCs/>
          <w:sz w:val="32"/>
          <w:szCs w:val="32"/>
        </w:rPr>
      </w:pPr>
      <w:r>
        <w:rPr>
          <w:b/>
          <w:sz w:val="32"/>
        </w:rPr>
        <w:t>Mjerila EU-a za zelenu javnu nabavu za boje, lakove i oznake na kolniku</w:t>
      </w:r>
    </w:p>
    <w:p w:rsidR="00D9472D" w:rsidRDefault="00D9472D">
      <w:pPr>
        <w:jc w:val="center"/>
        <w:outlineLvl w:val="0"/>
        <w:rPr>
          <w:b/>
          <w:bCs/>
          <w:sz w:val="32"/>
          <w:szCs w:val="32"/>
        </w:rPr>
      </w:pPr>
    </w:p>
    <w:p w:rsidR="00D9472D" w:rsidRDefault="002E5D08">
      <w:pPr>
        <w:pStyle w:val="Heading1"/>
      </w:pPr>
      <w:r>
        <w:t>UVOD</w:t>
      </w:r>
    </w:p>
    <w:p w:rsidR="00D9472D" w:rsidRDefault="00D9472D">
      <w:pPr>
        <w:rPr>
          <w:sz w:val="24"/>
        </w:rPr>
      </w:pPr>
    </w:p>
    <w:p w:rsidR="00D9472D" w:rsidRDefault="002E5D08">
      <w:pPr>
        <w:rPr>
          <w:color w:val="000000" w:themeColor="text1"/>
          <w:sz w:val="24"/>
        </w:rPr>
      </w:pPr>
      <w:r>
        <w:rPr>
          <w:sz w:val="24"/>
        </w:rPr>
        <w:t xml:space="preserve">Mjerila EU-a za zelenu javnu nabavu osmišljena su kako bi se javnim tijelima olakšala nabava robe, usluga i radova sa smanjenim utjecajima na okoliš. Primjena mjerila </w:t>
      </w:r>
      <w:r>
        <w:rPr>
          <w:b/>
          <w:sz w:val="24"/>
        </w:rPr>
        <w:t>nije obvezna</w:t>
      </w:r>
      <w:r>
        <w:rPr>
          <w:sz w:val="24"/>
        </w:rPr>
        <w:t>. Mjerila su oblikovana tako da se, ako to pojedinačno tijelo smatra prikladn</w:t>
      </w:r>
      <w:r>
        <w:rPr>
          <w:sz w:val="24"/>
        </w:rPr>
        <w:t>im, mogu (djelomično ili potpuno) uključiti u natječajnu dokumentaciju uz minimalno uređivanje. Javna tijela savjetuju se da prije objave natječaja provjere dostupnu ponudu robe, usluga i radova koje namjeravaju nabaviti na tržištu na kojem posluju.  U ovo</w:t>
      </w:r>
      <w:r>
        <w:rPr>
          <w:sz w:val="24"/>
        </w:rPr>
        <w:t xml:space="preserve">m su dokumentu navedena mjerila EU-a za zelenu javnu nabavu za skupinu proizvoda boja, lakova i oznaka na kolniku. </w:t>
      </w:r>
      <w:r>
        <w:rPr>
          <w:color w:val="000000" w:themeColor="text1"/>
          <w:sz w:val="24"/>
        </w:rPr>
        <w:t>U priloženom tehničkom izvješću navedeni su svi razlozi za odabir tih mjerila i upućivanja na dodatne informacije.</w:t>
      </w:r>
    </w:p>
    <w:p w:rsidR="00D9472D" w:rsidRDefault="00D9472D">
      <w:pPr>
        <w:rPr>
          <w:color w:val="000000" w:themeColor="text1"/>
          <w:sz w:val="24"/>
        </w:rPr>
      </w:pPr>
    </w:p>
    <w:p w:rsidR="00D9472D" w:rsidRDefault="002E5D08">
      <w:pPr>
        <w:rPr>
          <w:color w:val="000000" w:themeColor="text1"/>
          <w:sz w:val="24"/>
        </w:rPr>
      </w:pPr>
      <w:r>
        <w:rPr>
          <w:color w:val="000000" w:themeColor="text1"/>
          <w:sz w:val="24"/>
        </w:rPr>
        <w:t>Mjerila su podijeljena na</w:t>
      </w:r>
      <w:r>
        <w:rPr>
          <w:color w:val="000000" w:themeColor="text1"/>
          <w:sz w:val="24"/>
        </w:rPr>
        <w:t xml:space="preserve"> mjerila za odabir, tehničke specifikacije, mjerila za dodjelu i odredbe o izvršenju ugovora. Postoje dvije vrste mjerila:</w:t>
      </w:r>
    </w:p>
    <w:p w:rsidR="00D9472D" w:rsidRDefault="00D9472D">
      <w:pPr>
        <w:rPr>
          <w:color w:val="000000" w:themeColor="text1"/>
          <w:sz w:val="24"/>
        </w:rPr>
      </w:pPr>
    </w:p>
    <w:p w:rsidR="00D9472D" w:rsidRDefault="002E5D08">
      <w:pPr>
        <w:numPr>
          <w:ilvl w:val="0"/>
          <w:numId w:val="1"/>
        </w:numPr>
        <w:spacing w:after="120"/>
        <w:rPr>
          <w:sz w:val="24"/>
        </w:rPr>
      </w:pPr>
      <w:r>
        <w:rPr>
          <w:b/>
          <w:i/>
          <w:sz w:val="24"/>
        </w:rPr>
        <w:t>osnovna mjerila</w:t>
      </w:r>
      <w:r>
        <w:rPr>
          <w:sz w:val="24"/>
        </w:rPr>
        <w:t xml:space="preserve"> – </w:t>
      </w:r>
      <w:r>
        <w:rPr>
          <w:i/>
          <w:sz w:val="24"/>
        </w:rPr>
        <w:t xml:space="preserve">osmišljena su tako da omogućuju laku primjenu zelene javne nabave usmjeravajući se na ključno područje (ili </w:t>
      </w:r>
      <w:r>
        <w:rPr>
          <w:i/>
          <w:sz w:val="24"/>
        </w:rPr>
        <w:t>područja) ekološke učinkovitosti proizvoda te se njima žele postići što niži administrativni troškovi za poduzeća</w:t>
      </w:r>
    </w:p>
    <w:p w:rsidR="00D9472D" w:rsidRDefault="002E5D08">
      <w:pPr>
        <w:numPr>
          <w:ilvl w:val="0"/>
          <w:numId w:val="1"/>
        </w:numPr>
        <w:spacing w:after="120"/>
        <w:rPr>
          <w:sz w:val="24"/>
        </w:rPr>
      </w:pPr>
      <w:r>
        <w:rPr>
          <w:b/>
          <w:i/>
          <w:sz w:val="24"/>
        </w:rPr>
        <w:t xml:space="preserve">sveobuhvatna mjerila </w:t>
      </w:r>
      <w:r>
        <w:rPr>
          <w:i/>
          <w:sz w:val="24"/>
        </w:rPr>
        <w:t>– kojima se</w:t>
      </w:r>
      <w:r>
        <w:rPr>
          <w:sz w:val="24"/>
        </w:rPr>
        <w:t xml:space="preserve"> </w:t>
      </w:r>
      <w:r>
        <w:rPr>
          <w:i/>
          <w:sz w:val="24"/>
        </w:rPr>
        <w:t>uzima u obzir više aspekata ili više razine ekološke učinkovitosti i namijenjena su tijelima koja žele dodatn</w:t>
      </w:r>
      <w:r>
        <w:rPr>
          <w:i/>
          <w:sz w:val="24"/>
        </w:rPr>
        <w:t>o podržati ciljeve zaštite okoliša i poticanja inovacija</w:t>
      </w:r>
      <w:r>
        <w:rPr>
          <w:sz w:val="24"/>
        </w:rPr>
        <w:t>.</w:t>
      </w:r>
    </w:p>
    <w:p w:rsidR="00D9472D" w:rsidRDefault="002E5D08">
      <w:pPr>
        <w:rPr>
          <w:color w:val="000000" w:themeColor="text1"/>
          <w:sz w:val="24"/>
        </w:rPr>
      </w:pPr>
      <w:r>
        <w:rPr>
          <w:color w:val="000000" w:themeColor="text1"/>
          <w:sz w:val="24"/>
        </w:rPr>
        <w:t>Izraz „(isto za osnovna i sveobuhvatna mjerila)” umeće se ako su mjerila ista za obje razine postavljenih ciljeva.</w:t>
      </w:r>
    </w:p>
    <w:p w:rsidR="00D9472D" w:rsidRDefault="00D9472D">
      <w:pPr>
        <w:rPr>
          <w:sz w:val="24"/>
        </w:rPr>
      </w:pPr>
    </w:p>
    <w:p w:rsidR="00D9472D" w:rsidRDefault="002E5D08">
      <w:pPr>
        <w:rPr>
          <w:sz w:val="24"/>
        </w:rPr>
      </w:pPr>
      <w:r>
        <w:rPr>
          <w:sz w:val="24"/>
        </w:rPr>
        <w:t>U nekim slučajevima boja koja ne ispunjava zahtjeve mjerila za zelenu javnu nabavu</w:t>
      </w:r>
      <w:r>
        <w:rPr>
          <w:sz w:val="24"/>
        </w:rPr>
        <w:t xml:space="preserve"> može biti potrebna zbog tehničkih razloga, npr. obnova povijesne zgrade, kako bi se sačuvale izvorne osobine obojene površine. U tim bi slučajevima naručitelj, uz potporu tehničkih savjeta, trebao procijeniti posebne potrebe i dostupnost drugih rješenja t</w:t>
      </w:r>
      <w:r>
        <w:rPr>
          <w:sz w:val="24"/>
        </w:rPr>
        <w:t>e, prema potrebi, može odlučiti izuzeti natječaje za boje ili usluge bojenja od zahtjeva u pogledu zelene javne nabave. Kako bi se utvrdilo postoje li druga rješenja s primjerenim zahtjevima u pogledu radnog učinka, mogla bi se provesti ispitivanja tržišta</w:t>
      </w:r>
      <w:r>
        <w:rPr>
          <w:sz w:val="24"/>
        </w:rPr>
        <w:t>.</w:t>
      </w:r>
      <w:r>
        <w:br w:type="page"/>
      </w:r>
    </w:p>
    <w:p w:rsidR="00D9472D" w:rsidRDefault="002E5D08">
      <w:pPr>
        <w:spacing w:before="120" w:after="120"/>
        <w:rPr>
          <w:b/>
          <w:sz w:val="28"/>
          <w:szCs w:val="28"/>
        </w:rPr>
      </w:pPr>
      <w:r>
        <w:rPr>
          <w:b/>
          <w:sz w:val="28"/>
        </w:rPr>
        <w:lastRenderedPageBreak/>
        <w:t>1.1. Definicija i raspon proizvoda</w:t>
      </w:r>
    </w:p>
    <w:p w:rsidR="00D9472D" w:rsidRDefault="00D9472D">
      <w:pPr>
        <w:rPr>
          <w:sz w:val="24"/>
        </w:rPr>
      </w:pPr>
    </w:p>
    <w:p w:rsidR="00D9472D" w:rsidRDefault="002E5D08">
      <w:pPr>
        <w:rPr>
          <w:sz w:val="24"/>
        </w:rPr>
      </w:pPr>
      <w:r>
        <w:rPr>
          <w:sz w:val="24"/>
        </w:rPr>
        <w:t>Skupinom proizvoda obuhvaćene su dvije različite podskupine proizvoda: „boje i lakovi” i „oznake na kolniku”.</w:t>
      </w:r>
    </w:p>
    <w:p w:rsidR="00D9472D" w:rsidRDefault="00D9472D">
      <w:pPr>
        <w:rPr>
          <w:sz w:val="24"/>
        </w:rPr>
      </w:pPr>
    </w:p>
    <w:p w:rsidR="00D9472D" w:rsidRDefault="002E5D08">
      <w:pPr>
        <w:rPr>
          <w:sz w:val="24"/>
        </w:rPr>
      </w:pPr>
      <w:r>
        <w:rPr>
          <w:sz w:val="24"/>
        </w:rPr>
        <w:t>Podskupina „boje i lakovi” (koja se naziva i „boje”) obuhvaća boje i lakove za unutarnju i vanjsku primjen</w:t>
      </w:r>
      <w:r>
        <w:rPr>
          <w:sz w:val="24"/>
        </w:rPr>
        <w:t>u, lazure i povezane proizvode, kako su definirani u nastavku, koji su namijenjeni za profesionalne korisnike (ali ne za industrijsku upotrebu).</w:t>
      </w:r>
    </w:p>
    <w:p w:rsidR="00D9472D" w:rsidRDefault="00D9472D">
      <w:pPr>
        <w:rPr>
          <w:sz w:val="24"/>
        </w:rPr>
      </w:pPr>
    </w:p>
    <w:p w:rsidR="00D9472D" w:rsidRDefault="002E5D08">
      <w:pPr>
        <w:rPr>
          <w:sz w:val="24"/>
        </w:rPr>
      </w:pPr>
      <w:r>
        <w:rPr>
          <w:sz w:val="24"/>
        </w:rPr>
        <w:t>Boje i lakovi, među ostalim, uključuju:</w:t>
      </w:r>
    </w:p>
    <w:p w:rsidR="00D9472D" w:rsidRDefault="002E5D08">
      <w:pPr>
        <w:pStyle w:val="ListParagraph"/>
        <w:numPr>
          <w:ilvl w:val="0"/>
          <w:numId w:val="7"/>
        </w:numPr>
        <w:rPr>
          <w:sz w:val="24"/>
        </w:rPr>
      </w:pPr>
      <w:r>
        <w:rPr>
          <w:sz w:val="24"/>
        </w:rPr>
        <w:t>podne boje</w:t>
      </w:r>
    </w:p>
    <w:p w:rsidR="00D9472D" w:rsidRDefault="002E5D08">
      <w:pPr>
        <w:pStyle w:val="ListParagraph"/>
        <w:numPr>
          <w:ilvl w:val="0"/>
          <w:numId w:val="7"/>
        </w:numPr>
        <w:rPr>
          <w:sz w:val="24"/>
        </w:rPr>
      </w:pPr>
      <w:r>
        <w:rPr>
          <w:sz w:val="24"/>
        </w:rPr>
        <w:t>proizvode koje na zahtjev profesionalnih uređivača prostora</w:t>
      </w:r>
      <w:r>
        <w:rPr>
          <w:sz w:val="24"/>
        </w:rPr>
        <w:t xml:space="preserve"> nijansira distributer</w:t>
      </w:r>
    </w:p>
    <w:p w:rsidR="00D9472D" w:rsidRDefault="002E5D08">
      <w:pPr>
        <w:pStyle w:val="ListParagraph"/>
        <w:numPr>
          <w:ilvl w:val="0"/>
          <w:numId w:val="7"/>
        </w:numPr>
        <w:rPr>
          <w:sz w:val="24"/>
        </w:rPr>
      </w:pPr>
      <w:r>
        <w:rPr>
          <w:sz w:val="24"/>
        </w:rPr>
        <w:t>sustave za nijansiranje</w:t>
      </w:r>
    </w:p>
    <w:p w:rsidR="00D9472D" w:rsidRDefault="002E5D08">
      <w:pPr>
        <w:pStyle w:val="ListParagraph"/>
        <w:numPr>
          <w:ilvl w:val="0"/>
          <w:numId w:val="7"/>
        </w:numPr>
        <w:rPr>
          <w:sz w:val="24"/>
        </w:rPr>
      </w:pPr>
      <w:r>
        <w:rPr>
          <w:sz w:val="24"/>
        </w:rPr>
        <w:t>dekorativne boje u obliku tekućine ili paste koje proizvođač može unaprijed prilagoditi, nijansirati ili pripremiti kako bi bile u skladu s potrebama potrošača, uključujući boje za drvo, lazurne premaze za drv</w:t>
      </w:r>
      <w:r>
        <w:rPr>
          <w:sz w:val="24"/>
        </w:rPr>
        <w:t>o i obloge, zidne premaze i završne premaze za metal te temeljne i osnovne premaze takvih sustava proizvoda, kako je utvrđeno u točki 1.1. podtočkama (d) i (g) Priloga I. Direktivi 2004/42/EZ</w:t>
      </w:r>
      <w:r>
        <w:rPr>
          <w:rStyle w:val="FootnoteReference"/>
          <w:sz w:val="24"/>
        </w:rPr>
        <w:footnoteReference w:id="1"/>
      </w:r>
      <w:r>
        <w:rPr>
          <w:sz w:val="24"/>
        </w:rPr>
        <w:t>.</w:t>
      </w:r>
    </w:p>
    <w:p w:rsidR="00D9472D" w:rsidRDefault="00D9472D">
      <w:pPr>
        <w:rPr>
          <w:sz w:val="24"/>
        </w:rPr>
      </w:pPr>
    </w:p>
    <w:p w:rsidR="00D9472D" w:rsidRDefault="002E5D08">
      <w:pPr>
        <w:rPr>
          <w:sz w:val="24"/>
        </w:rPr>
      </w:pPr>
      <w:r>
        <w:rPr>
          <w:sz w:val="24"/>
        </w:rPr>
        <w:t>Podskupina „oznake na kolniku” obuhvaća proizvode kao što su boje ili sustavi strukturne plastike koji se primjenjuju na površine kolnika kako bi se označile vozne trake, ugibališta i signali te kako bi se površinama dala tarna svojstva i noćna retroreflek</w:t>
      </w:r>
      <w:r>
        <w:rPr>
          <w:sz w:val="24"/>
        </w:rPr>
        <w:t>sija u suhim i vlažnim uvjetima te za vrijeme kiše. Obično se sastoje od pigmentiranog materijala za oznake na kolniku i staklenih kuglica koji zajedno mogu, ali ne moraju, stvoriti film na podlozi. Unutar raspona proizvoda nalaze se i unaprijed oblikovani</w:t>
      </w:r>
      <w:r>
        <w:rPr>
          <w:sz w:val="24"/>
        </w:rPr>
        <w:t xml:space="preserve"> proizvodi za označivanje kolnika definirani kao vrpca, unaprijed oblikovane oznake na kolniku od hladne plastike ili unaprijed oblikovane termoplastične oznake na kolniku s dodacima ili bez njih te temeljni premazi i ljepila potrebni za primjenu materijal</w:t>
      </w:r>
      <w:r>
        <w:rPr>
          <w:sz w:val="24"/>
        </w:rPr>
        <w:t>a za oznake na kolniku.</w:t>
      </w:r>
    </w:p>
    <w:p w:rsidR="00D9472D" w:rsidRDefault="00D9472D">
      <w:pPr>
        <w:rPr>
          <w:sz w:val="24"/>
        </w:rPr>
      </w:pPr>
    </w:p>
    <w:p w:rsidR="00D9472D" w:rsidRDefault="002E5D08">
      <w:pPr>
        <w:rPr>
          <w:sz w:val="24"/>
        </w:rPr>
      </w:pPr>
      <w:r>
        <w:rPr>
          <w:sz w:val="24"/>
        </w:rPr>
        <w:t>Skupina proizvoda ne uključuje:</w:t>
      </w:r>
    </w:p>
    <w:p w:rsidR="00D9472D" w:rsidRDefault="002E5D08">
      <w:pPr>
        <w:numPr>
          <w:ilvl w:val="0"/>
          <w:numId w:val="8"/>
        </w:numPr>
        <w:rPr>
          <w:sz w:val="24"/>
        </w:rPr>
      </w:pPr>
      <w:r>
        <w:rPr>
          <w:sz w:val="24"/>
        </w:rPr>
        <w:t>premaze protiv obrastanja</w:t>
      </w:r>
    </w:p>
    <w:p w:rsidR="00D9472D" w:rsidRDefault="002E5D08">
      <w:pPr>
        <w:numPr>
          <w:ilvl w:val="0"/>
          <w:numId w:val="8"/>
        </w:numPr>
        <w:rPr>
          <w:sz w:val="24"/>
        </w:rPr>
      </w:pPr>
      <w:r>
        <w:rPr>
          <w:sz w:val="24"/>
        </w:rPr>
        <w:t>premaze za zaštitu drva</w:t>
      </w:r>
    </w:p>
    <w:p w:rsidR="00D9472D" w:rsidRDefault="002E5D08">
      <w:pPr>
        <w:numPr>
          <w:ilvl w:val="0"/>
          <w:numId w:val="8"/>
        </w:numPr>
        <w:rPr>
          <w:sz w:val="24"/>
        </w:rPr>
      </w:pPr>
      <w:r>
        <w:rPr>
          <w:sz w:val="24"/>
        </w:rPr>
        <w:t>premaze za posebne industrijske i profesionalne namjene, uključujući visoko otporne premaze</w:t>
      </w:r>
    </w:p>
    <w:p w:rsidR="00D9472D" w:rsidRDefault="002E5D08">
      <w:pPr>
        <w:numPr>
          <w:ilvl w:val="0"/>
          <w:numId w:val="8"/>
        </w:numPr>
        <w:rPr>
          <w:sz w:val="24"/>
        </w:rPr>
      </w:pPr>
      <w:r>
        <w:rPr>
          <w:sz w:val="24"/>
        </w:rPr>
        <w:t>praškaste premaze</w:t>
      </w:r>
    </w:p>
    <w:p w:rsidR="00D9472D" w:rsidRDefault="002E5D08">
      <w:pPr>
        <w:numPr>
          <w:ilvl w:val="0"/>
          <w:numId w:val="8"/>
        </w:numPr>
        <w:rPr>
          <w:sz w:val="24"/>
        </w:rPr>
      </w:pPr>
      <w:r>
        <w:rPr>
          <w:sz w:val="24"/>
        </w:rPr>
        <w:t>UV sustave sušenja boja</w:t>
      </w:r>
    </w:p>
    <w:p w:rsidR="00D9472D" w:rsidRDefault="002E5D08">
      <w:pPr>
        <w:numPr>
          <w:ilvl w:val="0"/>
          <w:numId w:val="8"/>
        </w:numPr>
        <w:rPr>
          <w:sz w:val="24"/>
        </w:rPr>
      </w:pPr>
      <w:r>
        <w:rPr>
          <w:sz w:val="24"/>
        </w:rPr>
        <w:t xml:space="preserve">boje koje se u </w:t>
      </w:r>
      <w:r>
        <w:rPr>
          <w:sz w:val="24"/>
        </w:rPr>
        <w:t>prvom redu koriste za vozila</w:t>
      </w:r>
    </w:p>
    <w:p w:rsidR="00D9472D" w:rsidRDefault="002E5D08">
      <w:pPr>
        <w:numPr>
          <w:ilvl w:val="0"/>
          <w:numId w:val="8"/>
        </w:numPr>
        <w:rPr>
          <w:sz w:val="24"/>
        </w:rPr>
      </w:pPr>
      <w:r>
        <w:rPr>
          <w:sz w:val="24"/>
        </w:rPr>
        <w:t>proizvode čija osnovna funkcija nije stvaranje filma na podlozi, na primjer ulja i voskovi (uz iznimku određenih sustava za označivanje kolnika)</w:t>
      </w:r>
    </w:p>
    <w:p w:rsidR="00D9472D" w:rsidRDefault="002E5D08">
      <w:pPr>
        <w:numPr>
          <w:ilvl w:val="0"/>
          <w:numId w:val="8"/>
        </w:numPr>
        <w:rPr>
          <w:sz w:val="24"/>
        </w:rPr>
      </w:pPr>
      <w:r>
        <w:rPr>
          <w:sz w:val="24"/>
        </w:rPr>
        <w:t xml:space="preserve">prozirne kemijske podne premaze u kojima se kao veziva upotrebljavaju reaktivne </w:t>
      </w:r>
      <w:r>
        <w:rPr>
          <w:sz w:val="24"/>
        </w:rPr>
        <w:t>smole za debele obloge industrijskih podova</w:t>
      </w:r>
    </w:p>
    <w:p w:rsidR="00D9472D" w:rsidRDefault="002E5D08">
      <w:pPr>
        <w:numPr>
          <w:ilvl w:val="0"/>
          <w:numId w:val="8"/>
        </w:numPr>
        <w:rPr>
          <w:sz w:val="24"/>
        </w:rPr>
      </w:pPr>
      <w:r>
        <w:rPr>
          <w:sz w:val="24"/>
        </w:rPr>
        <w:t>mehaničke oznake kao što su katadiopteri.</w:t>
      </w:r>
    </w:p>
    <w:p w:rsidR="00D9472D" w:rsidRDefault="00D9472D">
      <w:pPr>
        <w:rPr>
          <w:sz w:val="24"/>
        </w:rPr>
      </w:pPr>
    </w:p>
    <w:p w:rsidR="00D9472D" w:rsidRDefault="002E5D08">
      <w:pPr>
        <w:rPr>
          <w:sz w:val="24"/>
        </w:rPr>
      </w:pPr>
      <w:r>
        <w:rPr>
          <w:sz w:val="24"/>
        </w:rPr>
        <w:t>U svrhu primjene kriterija vrijede sljedeće definicije proizvoda:</w:t>
      </w:r>
    </w:p>
    <w:p w:rsidR="00D9472D" w:rsidRDefault="00D9472D">
      <w:pPr>
        <w:rPr>
          <w:sz w:val="24"/>
        </w:rPr>
      </w:pPr>
    </w:p>
    <w:p w:rsidR="00D9472D" w:rsidRDefault="002E5D08">
      <w:pPr>
        <w:rPr>
          <w:sz w:val="24"/>
        </w:rPr>
      </w:pPr>
      <w:r>
        <w:rPr>
          <w:sz w:val="24"/>
        </w:rPr>
        <w:t xml:space="preserve">„Boja” znači pigmentirani materijal za premazivanje u obliku tekućine ili paste, koji po nanošenju na </w:t>
      </w:r>
      <w:r>
        <w:rPr>
          <w:sz w:val="24"/>
        </w:rPr>
        <w:t>podlogu formira neproziran film koji ima zaštitna, dekorativna ili posebna tehnička svojstva.</w:t>
      </w:r>
    </w:p>
    <w:p w:rsidR="00D9472D" w:rsidRDefault="00D9472D">
      <w:pPr>
        <w:rPr>
          <w:sz w:val="24"/>
        </w:rPr>
      </w:pPr>
    </w:p>
    <w:p w:rsidR="00D9472D" w:rsidRDefault="002E5D08">
      <w:pPr>
        <w:rPr>
          <w:sz w:val="24"/>
        </w:rPr>
      </w:pPr>
      <w:r>
        <w:rPr>
          <w:sz w:val="24"/>
        </w:rPr>
        <w:t>„Dekorativne boje i lakovi” znači boje i lakovi koji se primjenjuju za dekoraciju i zaštitu objekata, njihovih ukrasa i opreme.  Iako im je glavna funkcija dekor</w:t>
      </w:r>
      <w:r>
        <w:rPr>
          <w:sz w:val="24"/>
        </w:rPr>
        <w:t>ativna, imaju i zaštitnu ulogu.</w:t>
      </w:r>
    </w:p>
    <w:p w:rsidR="00D9472D" w:rsidRDefault="00D9472D">
      <w:pPr>
        <w:rPr>
          <w:sz w:val="24"/>
        </w:rPr>
      </w:pPr>
    </w:p>
    <w:p w:rsidR="00D9472D" w:rsidRDefault="002E5D08">
      <w:pPr>
        <w:rPr>
          <w:sz w:val="24"/>
        </w:rPr>
      </w:pPr>
      <w:r>
        <w:rPr>
          <w:sz w:val="24"/>
        </w:rPr>
        <w:t>„Zidni premazi” premazi su koji stvaraju dekorativno-zaštitni film i koriste se za beton, opeku (koja se može bojiti), betonske blokove, žbuku, kalcijev silikat ili beton ojačan vlaknima. U načelu su predviđeni za vanjsku p</w:t>
      </w:r>
      <w:r>
        <w:rPr>
          <w:sz w:val="24"/>
        </w:rPr>
        <w:t>rimjenu, ali mogu se koristiti i u unutarnjim prostorima ili na podsvođu i balkonskim stropovima.</w:t>
      </w:r>
    </w:p>
    <w:p w:rsidR="00D9472D" w:rsidRDefault="00D9472D">
      <w:pPr>
        <w:rPr>
          <w:sz w:val="24"/>
        </w:rPr>
      </w:pPr>
    </w:p>
    <w:p w:rsidR="00D9472D" w:rsidRDefault="002E5D08">
      <w:pPr>
        <w:rPr>
          <w:sz w:val="24"/>
        </w:rPr>
      </w:pPr>
      <w:r>
        <w:rPr>
          <w:sz w:val="24"/>
        </w:rPr>
        <w:t>„Lak” znači proziran materijal za premazivanje koji po nanošenju na podlogu formira tvrdi proziran film koji ima zaštitna, dekorativna ili posebna tehnička s</w:t>
      </w:r>
      <w:r>
        <w:rPr>
          <w:sz w:val="24"/>
        </w:rPr>
        <w:t>vojstva.</w:t>
      </w:r>
    </w:p>
    <w:p w:rsidR="00D9472D" w:rsidRDefault="00D9472D">
      <w:pPr>
        <w:rPr>
          <w:sz w:val="24"/>
        </w:rPr>
      </w:pPr>
    </w:p>
    <w:p w:rsidR="00D9472D" w:rsidRDefault="002E5D08">
      <w:pPr>
        <w:rPr>
          <w:sz w:val="24"/>
        </w:rPr>
      </w:pPr>
      <w:r>
        <w:rPr>
          <w:sz w:val="24"/>
        </w:rPr>
        <w:t>„Lazura” znači premaz koji stvara proziran ili poluproziran film (uglavnom upotrebom pigmenta koji nije bijeli) za dekoraciju i zaštitu drva od atmosferskog starenja, što omogućuje njegovo lako održavanje.</w:t>
      </w:r>
    </w:p>
    <w:p w:rsidR="00D9472D" w:rsidRDefault="00D9472D">
      <w:pPr>
        <w:rPr>
          <w:sz w:val="24"/>
        </w:rPr>
      </w:pPr>
    </w:p>
    <w:p w:rsidR="00D9472D" w:rsidRDefault="002E5D08">
      <w:pPr>
        <w:rPr>
          <w:sz w:val="24"/>
        </w:rPr>
      </w:pPr>
      <w:r>
        <w:rPr>
          <w:sz w:val="24"/>
        </w:rPr>
        <w:t>„Sustav za nijansiranje” znači metoda p</w:t>
      </w:r>
      <w:r>
        <w:rPr>
          <w:sz w:val="24"/>
        </w:rPr>
        <w:t>ripreme boja miješanjem „osnove” s bojama za nijansiranje.</w:t>
      </w:r>
    </w:p>
    <w:p w:rsidR="00D9472D" w:rsidRDefault="00D9472D">
      <w:pPr>
        <w:rPr>
          <w:sz w:val="24"/>
        </w:rPr>
      </w:pPr>
    </w:p>
    <w:p w:rsidR="00D9472D" w:rsidRDefault="002E5D08">
      <w:pPr>
        <w:rPr>
          <w:sz w:val="24"/>
        </w:rPr>
      </w:pPr>
      <w:r>
        <w:rPr>
          <w:sz w:val="24"/>
        </w:rPr>
        <w:t>Daljnje popratne tehničke definicije navedene su u Prilogu 1.</w:t>
      </w:r>
    </w:p>
    <w:p w:rsidR="00D9472D" w:rsidRDefault="00D9472D">
      <w:pPr>
        <w:rPr>
          <w:sz w:val="24"/>
        </w:rPr>
      </w:pPr>
    </w:p>
    <w:p w:rsidR="00D9472D" w:rsidRDefault="002E5D08">
      <w:pPr>
        <w:spacing w:before="120" w:after="120"/>
        <w:rPr>
          <w:b/>
          <w:sz w:val="28"/>
          <w:szCs w:val="28"/>
        </w:rPr>
      </w:pPr>
      <w:r>
        <w:rPr>
          <w:b/>
          <w:sz w:val="28"/>
        </w:rPr>
        <w:t>1.2. Definicija i područje primjene ugovora o izvođenju radova</w:t>
      </w:r>
    </w:p>
    <w:p w:rsidR="00D9472D" w:rsidRDefault="00D9472D">
      <w:pPr>
        <w:rPr>
          <w:sz w:val="24"/>
        </w:rPr>
      </w:pPr>
    </w:p>
    <w:p w:rsidR="00D9472D" w:rsidRDefault="002E5D08">
      <w:pPr>
        <w:rPr>
          <w:sz w:val="24"/>
        </w:rPr>
      </w:pPr>
      <w:r>
        <w:rPr>
          <w:sz w:val="24"/>
        </w:rPr>
        <w:t>Mjerila se odnose i na povezane ugovore o izvođenju radova označivanj</w:t>
      </w:r>
      <w:r>
        <w:rPr>
          <w:sz w:val="24"/>
        </w:rPr>
        <w:t>a kolnika. Oni mogu uključivati jednokratne ugovore o izvođenju radova, ugovore o opciji kupnje iz okvirnog ugovora te ciklične dugoročne usluge bojenja. Svi se ugovori moraju temeljiti na upotrebi boja definiranih u rasponu ove skupine proizvoda. Za potre</w:t>
      </w:r>
      <w:r>
        <w:rPr>
          <w:sz w:val="24"/>
        </w:rPr>
        <w:t>be primjene kriterija vrijede sljedeće definicije ugovora:</w:t>
      </w:r>
    </w:p>
    <w:p w:rsidR="00D9472D" w:rsidRDefault="00D9472D">
      <w:pPr>
        <w:rPr>
          <w:sz w:val="24"/>
        </w:rPr>
      </w:pPr>
    </w:p>
    <w:p w:rsidR="00D9472D" w:rsidRDefault="002E5D08">
      <w:pPr>
        <w:rPr>
          <w:sz w:val="24"/>
        </w:rPr>
      </w:pPr>
      <w:r>
        <w:rPr>
          <w:sz w:val="24"/>
        </w:rPr>
        <w:t>„Radovi bojenja” znači izravni angažman ugovaratelja, koji se obično nazivaju „soboslikari i dekorateri”, za bojenje unutarnjih i vanjskih površina na temelju jednokratnog ugovora, ugovora o opcij</w:t>
      </w:r>
      <w:r>
        <w:rPr>
          <w:sz w:val="24"/>
        </w:rPr>
        <w:t>i kupnje ili cikličnog ugovora, uključujući i kontinuirane radove održavanja i popravaka.</w:t>
      </w:r>
    </w:p>
    <w:p w:rsidR="00D9472D" w:rsidRDefault="00D9472D">
      <w:pPr>
        <w:rPr>
          <w:sz w:val="24"/>
        </w:rPr>
      </w:pPr>
    </w:p>
    <w:p w:rsidR="00D9472D" w:rsidRDefault="002E5D08">
      <w:pPr>
        <w:rPr>
          <w:sz w:val="24"/>
        </w:rPr>
      </w:pPr>
      <w:r>
        <w:rPr>
          <w:sz w:val="24"/>
        </w:rPr>
        <w:t>„Radovi označivanja kolnika” znači izravni angažman ugovaratelja, koji se obično nazivaju „radnici za označivanje kolnika”, za postavljanje oznaka na kolniku na teme</w:t>
      </w:r>
      <w:r>
        <w:rPr>
          <w:sz w:val="24"/>
        </w:rPr>
        <w:t>lju jednokratnog ili cikličnog ugovora, uključujući i radove održavanja i popravaka.</w:t>
      </w:r>
    </w:p>
    <w:p w:rsidR="00D9472D" w:rsidRDefault="00D9472D">
      <w:pPr>
        <w:rPr>
          <w:sz w:val="24"/>
        </w:rPr>
      </w:pPr>
    </w:p>
    <w:p w:rsidR="00D9472D" w:rsidRDefault="002E5D08">
      <w:pPr>
        <w:spacing w:before="120" w:after="120"/>
        <w:rPr>
          <w:b/>
          <w:sz w:val="28"/>
          <w:szCs w:val="28"/>
        </w:rPr>
      </w:pPr>
      <w:r>
        <w:rPr>
          <w:b/>
          <w:sz w:val="28"/>
        </w:rPr>
        <w:t>1.3. Opća napomena o provjeri</w:t>
      </w:r>
    </w:p>
    <w:p w:rsidR="00D9472D" w:rsidRDefault="00D9472D">
      <w:pPr>
        <w:rPr>
          <w:sz w:val="24"/>
        </w:rPr>
      </w:pPr>
    </w:p>
    <w:p w:rsidR="00D9472D" w:rsidRDefault="002E5D08">
      <w:pPr>
        <w:rPr>
          <w:sz w:val="24"/>
        </w:rPr>
      </w:pPr>
      <w:r>
        <w:rPr>
          <w:sz w:val="24"/>
        </w:rPr>
        <w:t xml:space="preserve">Za niz je mjerila predloženi način provjere dostava izvješća o ispitivanju. Za svako su mjerilo navedene odgovarajuće metode ispitivanja. </w:t>
      </w:r>
      <w:r>
        <w:rPr>
          <w:sz w:val="24"/>
        </w:rPr>
        <w:t xml:space="preserve">Javno tijelo samo odlučuje u kojoj je fazi potrebno dostaviti te rezultate ispitivanja. Općenito se čini da nije potrebno zahtijevati da svi ponuditelji dostave rezultate ispitivanja na samom početku. Kako bi se rasteretilo ponuditelje i javna tijela, pri </w:t>
      </w:r>
      <w:r>
        <w:rPr>
          <w:sz w:val="24"/>
        </w:rPr>
        <w:t>podnošenju ponuda dovoljnom bi se mogla smatrati izjava ponuditelja. Osim toga, postoje različite mogućnosti za utvrđivanje potrebe za ispitivanjima i vremena njihova provođenja:</w:t>
      </w:r>
    </w:p>
    <w:p w:rsidR="00D9472D" w:rsidRDefault="002E5D08">
      <w:pPr>
        <w:spacing w:before="240" w:after="120"/>
        <w:ind w:left="720" w:hanging="360"/>
        <w:rPr>
          <w:sz w:val="24"/>
          <w:u w:val="single"/>
        </w:rPr>
      </w:pPr>
      <w:r>
        <w:rPr>
          <w:sz w:val="24"/>
          <w:u w:val="single"/>
        </w:rPr>
        <w:t>a) u fazi nadmetanja:</w:t>
      </w:r>
    </w:p>
    <w:p w:rsidR="00D9472D" w:rsidRDefault="002E5D08">
      <w:pPr>
        <w:spacing w:after="120"/>
        <w:ind w:left="720"/>
        <w:rPr>
          <w:sz w:val="24"/>
        </w:rPr>
      </w:pPr>
      <w:r>
        <w:rPr>
          <w:sz w:val="24"/>
        </w:rPr>
        <w:t xml:space="preserve">Za </w:t>
      </w:r>
      <w:r>
        <w:rPr>
          <w:i/>
          <w:sz w:val="24"/>
        </w:rPr>
        <w:t>jednokratne ugovore o nabavi</w:t>
      </w:r>
      <w:r>
        <w:rPr>
          <w:sz w:val="24"/>
        </w:rPr>
        <w:t xml:space="preserve"> dostava tog dokaza može</w:t>
      </w:r>
      <w:r>
        <w:rPr>
          <w:sz w:val="24"/>
        </w:rPr>
        <w:t xml:space="preserve"> se zahtijevati od ponuditelja s ekonomski najpovoljnijom ponudom. Ako se utvrdi da je dokaz dovoljan, ugovor se može dodijeliti. Ako se utvrdi da dokaz nije dovoljan ili da nije usklađen:</w:t>
      </w:r>
    </w:p>
    <w:p w:rsidR="00D9472D" w:rsidRDefault="002E5D08">
      <w:pPr>
        <w:numPr>
          <w:ilvl w:val="0"/>
          <w:numId w:val="25"/>
        </w:numPr>
        <w:spacing w:after="120"/>
        <w:ind w:left="1440" w:hanging="360"/>
        <w:rPr>
          <w:sz w:val="24"/>
        </w:rPr>
      </w:pPr>
      <w:r>
        <w:rPr>
          <w:sz w:val="24"/>
        </w:rPr>
        <w:t xml:space="preserve">ako se način provjere odnosi na </w:t>
      </w:r>
      <w:r>
        <w:rPr>
          <w:sz w:val="24"/>
          <w:u w:val="single"/>
        </w:rPr>
        <w:t>tehničku specifikaciju</w:t>
      </w:r>
      <w:r>
        <w:rPr>
          <w:sz w:val="24"/>
        </w:rPr>
        <w:t>, dokaz bi se</w:t>
      </w:r>
      <w:r>
        <w:rPr>
          <w:sz w:val="24"/>
        </w:rPr>
        <w:t xml:space="preserve"> tražio od sljedećeg ponuditelja s najboljom ocjenom kojeg bi se zatim razmatralo za dodjelu ugovora</w:t>
      </w:r>
    </w:p>
    <w:p w:rsidR="00D9472D" w:rsidRDefault="002E5D08">
      <w:pPr>
        <w:numPr>
          <w:ilvl w:val="0"/>
          <w:numId w:val="25"/>
        </w:numPr>
        <w:spacing w:after="120"/>
        <w:ind w:left="1440" w:hanging="360"/>
        <w:rPr>
          <w:sz w:val="24"/>
        </w:rPr>
      </w:pPr>
      <w:r>
        <w:rPr>
          <w:sz w:val="24"/>
        </w:rPr>
        <w:t xml:space="preserve">ako se način provjere odnosi na </w:t>
      </w:r>
      <w:r>
        <w:rPr>
          <w:sz w:val="24"/>
          <w:u w:val="single"/>
        </w:rPr>
        <w:t>kriterij dodjele</w:t>
      </w:r>
      <w:r>
        <w:rPr>
          <w:sz w:val="24"/>
        </w:rPr>
        <w:t>, dodatni bodovi koji su dodijeljeni oduzeli bi se, a poredak ponuditelja ponovno bi se izračunao uz primje</w:t>
      </w:r>
      <w:r>
        <w:rPr>
          <w:sz w:val="24"/>
        </w:rPr>
        <w:t>nu svih posljedica tog izračuna.</w:t>
      </w:r>
    </w:p>
    <w:p w:rsidR="00D9472D" w:rsidRDefault="002E5D08">
      <w:pPr>
        <w:ind w:left="720"/>
        <w:rPr>
          <w:sz w:val="24"/>
        </w:rPr>
      </w:pPr>
      <w:r>
        <w:rPr>
          <w:sz w:val="24"/>
        </w:rPr>
        <w:t>Izvješćem o ispitivanju potvrđuje se da je ispitan uzorak proizvoda, a ne proizvodi koji se stvarno isporuče na osnovi ugovora, kako bi se utvrdilo ispunjavaju li određene zahtjeve. Za okvirne se ugovore situacija može razl</w:t>
      </w:r>
      <w:r>
        <w:rPr>
          <w:sz w:val="24"/>
        </w:rPr>
        <w:t>ikovati. Taj je scenarij dodatno obuhvaćen u točki b)</w:t>
      </w:r>
    </w:p>
    <w:p w:rsidR="00D9472D" w:rsidRDefault="002E5D08">
      <w:pPr>
        <w:spacing w:before="240" w:after="120"/>
        <w:ind w:left="720" w:hanging="360"/>
        <w:rPr>
          <w:sz w:val="24"/>
          <w:u w:val="single"/>
        </w:rPr>
      </w:pPr>
      <w:r>
        <w:rPr>
          <w:sz w:val="24"/>
          <w:u w:val="single"/>
        </w:rPr>
        <w:t>b) tijekom izvršenja ugovora:</w:t>
      </w:r>
    </w:p>
    <w:p w:rsidR="00D9472D" w:rsidRDefault="002E5D08">
      <w:pPr>
        <w:ind w:left="720"/>
        <w:rPr>
          <w:sz w:val="24"/>
        </w:rPr>
      </w:pPr>
      <w:r>
        <w:rPr>
          <w:sz w:val="24"/>
        </w:rPr>
        <w:t>Rezultate ispitivanja moglo bi se tražiti za jednu stavku ili nekoliko stavki isporučenih na temelju ugovora, bilo općenito ili ako se sumnja da su deklaracije lažne. To je</w:t>
      </w:r>
      <w:r>
        <w:rPr>
          <w:sz w:val="24"/>
        </w:rPr>
        <w:t xml:space="preserve"> osobito važno za okvirne ugovore u kojima nije navedena početna narudžba.</w:t>
      </w:r>
    </w:p>
    <w:p w:rsidR="00D9472D" w:rsidRDefault="00D9472D">
      <w:pPr>
        <w:ind w:left="720"/>
        <w:rPr>
          <w:sz w:val="24"/>
        </w:rPr>
      </w:pPr>
    </w:p>
    <w:p w:rsidR="00D9472D" w:rsidRDefault="002E5D08">
      <w:pPr>
        <w:ind w:left="720"/>
        <w:rPr>
          <w:sz w:val="24"/>
        </w:rPr>
      </w:pPr>
      <w:r>
        <w:rPr>
          <w:sz w:val="24"/>
        </w:rPr>
        <w:t>Preporučuje se da se u ugovor uključe izričite odredbe o izvršenju ugovora. U njima bi se trebalo navesti da javni naručitelj ima pravo provesti provjere u bilo kojem trenutku tije</w:t>
      </w:r>
      <w:r>
        <w:rPr>
          <w:sz w:val="24"/>
        </w:rPr>
        <w:t>kom trajanja ugovora. Ako rezultati tih ispitivanja pokažu da isporučeni proizvodi ne zadovoljavaju mjerila, javni naručitelj imat će pravo primijeniti sankcije i može raskinuti ugovor. Neka javna tijela uključuju uvjete prema kojima troškove provedenog is</w:t>
      </w:r>
      <w:r>
        <w:rPr>
          <w:sz w:val="24"/>
        </w:rPr>
        <w:t>pitivanja mora snositi javno tijelo ako se ispitivanjima utvrdi da proizvod ispunjava njihove zahtjeve, ali ako zahtjevi nisu ispunjeni, troškove mora snositi dobavljač.</w:t>
      </w:r>
    </w:p>
    <w:p w:rsidR="00D9472D" w:rsidRDefault="00D9472D">
      <w:pPr>
        <w:ind w:left="720"/>
        <w:rPr>
          <w:sz w:val="24"/>
        </w:rPr>
      </w:pPr>
    </w:p>
    <w:p w:rsidR="00D9472D" w:rsidRDefault="002E5D08">
      <w:pPr>
        <w:spacing w:after="120"/>
        <w:ind w:left="720"/>
        <w:rPr>
          <w:sz w:val="24"/>
        </w:rPr>
      </w:pPr>
      <w:r>
        <w:rPr>
          <w:sz w:val="24"/>
        </w:rPr>
        <w:t xml:space="preserve">U slučaju </w:t>
      </w:r>
      <w:r>
        <w:rPr>
          <w:i/>
          <w:sz w:val="24"/>
        </w:rPr>
        <w:t>okvirnih sporazuma</w:t>
      </w:r>
      <w:r>
        <w:rPr>
          <w:sz w:val="24"/>
        </w:rPr>
        <w:t>, trenutak kada se traži dokaz ovisi o specifičnim odredb</w:t>
      </w:r>
      <w:r>
        <w:rPr>
          <w:sz w:val="24"/>
        </w:rPr>
        <w:t>ama ugovora:</w:t>
      </w:r>
    </w:p>
    <w:p w:rsidR="00D9472D" w:rsidRDefault="002E5D08">
      <w:pPr>
        <w:numPr>
          <w:ilvl w:val="0"/>
          <w:numId w:val="26"/>
        </w:numPr>
        <w:tabs>
          <w:tab w:val="clear" w:pos="1080"/>
          <w:tab w:val="num" w:pos="1440"/>
        </w:tabs>
        <w:spacing w:after="120"/>
        <w:ind w:left="1440" w:hanging="360"/>
        <w:rPr>
          <w:sz w:val="24"/>
        </w:rPr>
      </w:pPr>
      <w:r>
        <w:rPr>
          <w:sz w:val="24"/>
        </w:rPr>
        <w:t xml:space="preserve">za </w:t>
      </w:r>
      <w:r>
        <w:rPr>
          <w:sz w:val="24"/>
          <w:u w:val="single"/>
        </w:rPr>
        <w:t>okvirne sporazume s jednim gospodarskim subjektom</w:t>
      </w:r>
      <w:r>
        <w:rPr>
          <w:sz w:val="24"/>
        </w:rPr>
        <w:t xml:space="preserve"> u kojem su pojedinačne stavke koje treba isporučiti utvrđene pri dodjeli okvirnog sporazuma, a broj jedinica utvrđuje se kasnije, primjenjuju se isti uvjeti kao i za prethodno opisane jednok</w:t>
      </w:r>
      <w:r>
        <w:rPr>
          <w:sz w:val="24"/>
        </w:rPr>
        <w:t>ratne ugovore o nabavi</w:t>
      </w:r>
    </w:p>
    <w:p w:rsidR="00D9472D" w:rsidRDefault="002E5D08">
      <w:pPr>
        <w:numPr>
          <w:ilvl w:val="0"/>
          <w:numId w:val="26"/>
        </w:numPr>
        <w:tabs>
          <w:tab w:val="clear" w:pos="1080"/>
          <w:tab w:val="num" w:pos="1440"/>
        </w:tabs>
        <w:spacing w:after="120"/>
        <w:ind w:left="1440" w:hanging="360"/>
        <w:rPr>
          <w:sz w:val="24"/>
        </w:rPr>
      </w:pPr>
      <w:r>
        <w:rPr>
          <w:sz w:val="24"/>
        </w:rPr>
        <w:t xml:space="preserve">kad je riječ o </w:t>
      </w:r>
      <w:r>
        <w:rPr>
          <w:sz w:val="24"/>
          <w:u w:val="single"/>
        </w:rPr>
        <w:t>okvirnim sporazumima kojima se unaprijed odabire nekoliko mogućih dobavljača nakon čega slijedi natječaj</w:t>
      </w:r>
      <w:r>
        <w:rPr>
          <w:sz w:val="24"/>
        </w:rPr>
        <w:t xml:space="preserve"> među prethodno odabranim ponuditeljima, u toj će početnoj fazi ponuditelji možda samo trebati dokazati svoju sposobnost da isporuče stavke koje ispunjavaju minimalne zahtjeve učinkovitosti iz okvirnog sporazuma. Za ugovore o opciji kupnje (ili narudžbe) k</w:t>
      </w:r>
      <w:r>
        <w:rPr>
          <w:sz w:val="24"/>
        </w:rPr>
        <w:t>oji se dodjeljuju nakon natječaja među prethodno odabranim dobavljačima primjenjuju se isti uvjeti kao i u prethodnim točkama a) i b), ako se na temelju natječaja mora dokazati ispunjenje dodatnih zahtjeva. Ako se o natječaju odlučuje samo na temelju cijen</w:t>
      </w:r>
      <w:r>
        <w:rPr>
          <w:sz w:val="24"/>
        </w:rPr>
        <w:t>e, trebalo bi razmotriti provjeru u fazi izvršenja ugovora.</w:t>
      </w:r>
    </w:p>
    <w:p w:rsidR="00D9472D" w:rsidRDefault="002E5D08">
      <w:pPr>
        <w:ind w:left="720"/>
        <w:rPr>
          <w:sz w:val="24"/>
        </w:rPr>
      </w:pPr>
      <w:r>
        <w:rPr>
          <w:sz w:val="24"/>
        </w:rPr>
        <w:t>Važno je istaknuti i mogućnost da ponuditelji dostave provjeru na osnovi znaka za okoliš EU-a ili drugog relevantnog znaka za okoliš koji ispunjava iste utvrđene zahtjeve. Provjera bi se tada traž</w:t>
      </w:r>
      <w:r>
        <w:rPr>
          <w:sz w:val="24"/>
        </w:rPr>
        <w:t>ila primjenom istog pristupa koji je utvrđen za rezultate ispitivanja.</w:t>
      </w:r>
    </w:p>
    <w:p w:rsidR="00D9472D" w:rsidRDefault="00D9472D">
      <w:pPr>
        <w:ind w:left="720"/>
        <w:rPr>
          <w:sz w:val="24"/>
        </w:rPr>
      </w:pPr>
    </w:p>
    <w:p w:rsidR="00D9472D" w:rsidRDefault="002E5D08">
      <w:pPr>
        <w:ind w:left="720"/>
        <w:rPr>
          <w:sz w:val="24"/>
        </w:rPr>
      </w:pPr>
      <w:r>
        <w:rPr>
          <w:sz w:val="24"/>
        </w:rPr>
        <w:t>Valja istaknuti i to da u skladu s člankom 44. stavkom 2. Direktive 2014/24/EU javni naručitelji prihvaćaju druge prikladne načine dokazivanja. Oni mogu uključivati tehničku dokumentac</w:t>
      </w:r>
      <w:r>
        <w:rPr>
          <w:sz w:val="24"/>
        </w:rPr>
        <w:t>iju proizvođača kada predmetni gospodarski subjekt nema pristup izvješćima o ispitivanju ili ih ne može nabaviti u odgovarajućem roku. To vrijedi uz uvjet da se nemogućnost pristupa ne može pripisati predmetnom gospodarskom subjektu i da predmetni gospodar</w:t>
      </w:r>
      <w:r>
        <w:rPr>
          <w:sz w:val="24"/>
        </w:rPr>
        <w:t>ski subjekt time dokaže da radovi, roba ili usluge koje pruža ispunjavaju zahtjeve ili mjerila utvrđena tehničkim specifikacijama, mjerilima za dodjelu ili uvjetima izvršenja ugovora. Ako se za provedbu ispitivanja upućuje na potvrdu / izvješće o ispitivan</w:t>
      </w:r>
      <w:r>
        <w:rPr>
          <w:sz w:val="24"/>
        </w:rPr>
        <w:t>ju koje je izradilo određeno tijelo za ocjenjivanje sukladnosti, javni naručitelji prihvaćaju i potvrde / izvješća o ispitivanju koje izdaju ostala jednakovrijedna tijela za ocjenjivanje.</w:t>
      </w:r>
    </w:p>
    <w:p w:rsidR="00D9472D" w:rsidRDefault="00D9472D">
      <w:pPr>
        <w:spacing w:after="120"/>
        <w:rPr>
          <w:b/>
          <w:bCs/>
          <w:sz w:val="24"/>
        </w:rPr>
      </w:pPr>
    </w:p>
    <w:p w:rsidR="00D9472D" w:rsidRDefault="00D9472D">
      <w:pPr>
        <w:rPr>
          <w:sz w:val="28"/>
          <w:szCs w:val="28"/>
        </w:rPr>
        <w:sectPr w:rsidR="00D9472D">
          <w:headerReference w:type="even" r:id="rId16"/>
          <w:headerReference w:type="default" r:id="rId17"/>
          <w:footerReference w:type="even" r:id="rId18"/>
          <w:footerReference w:type="default" r:id="rId19"/>
          <w:headerReference w:type="first" r:id="rId20"/>
          <w:footerReference w:type="first" r:id="rId21"/>
          <w:pgSz w:w="16838" w:h="11906" w:orient="landscape"/>
          <w:pgMar w:top="1800" w:right="1440" w:bottom="1800" w:left="1440" w:header="708" w:footer="708" w:gutter="0"/>
          <w:pgNumType w:start="1"/>
          <w:cols w:space="708"/>
          <w:titlePg/>
          <w:docGrid w:linePitch="360"/>
        </w:sectPr>
      </w:pPr>
    </w:p>
    <w:p w:rsidR="00D9472D" w:rsidRDefault="002E5D08">
      <w:pPr>
        <w:pStyle w:val="Heading1"/>
      </w:pPr>
      <w:r>
        <w:t>KLJUČNI UTJECAJI NA OKOLIŠ</w:t>
      </w:r>
    </w:p>
    <w:p w:rsidR="00D9472D" w:rsidRDefault="00D9472D">
      <w:pPr>
        <w:pStyle w:val="BodyText"/>
        <w:spacing w:after="120"/>
        <w:rPr>
          <w:rFonts w:ascii="Times New Roman" w:hAnsi="Times New Roman" w:cs="Times New Roman"/>
          <w:sz w:val="24"/>
          <w:szCs w:val="24"/>
        </w:rPr>
      </w:pPr>
    </w:p>
    <w:p w:rsidR="00D9472D" w:rsidRDefault="002E5D08">
      <w:pPr>
        <w:pStyle w:val="BodyText"/>
        <w:spacing w:after="120"/>
        <w:rPr>
          <w:rFonts w:ascii="Times New Roman" w:hAnsi="Times New Roman" w:cs="Times New Roman"/>
          <w:sz w:val="24"/>
          <w:szCs w:val="24"/>
        </w:rPr>
      </w:pPr>
      <w:r>
        <w:rPr>
          <w:rFonts w:ascii="Times New Roman" w:hAnsi="Times New Roman"/>
          <w:sz w:val="24"/>
        </w:rPr>
        <w:t xml:space="preserve">Ključni utjecaji boja i lakova na okoliš povezani su s njihovom proizvodnjom. Stoga je važan čimbenik količina boje koja se upotrebljava uz količinu otpadne i neiskorištene boje te trajanje boje </w:t>
      </w:r>
      <w:r>
        <w:rPr>
          <w:rFonts w:ascii="Times New Roman" w:hAnsi="Times New Roman"/>
          <w:sz w:val="24"/>
        </w:rPr>
        <w:t>do trenutka kada je potrebno primijeniti novi sloj boje.</w:t>
      </w:r>
    </w:p>
    <w:p w:rsidR="00D9472D" w:rsidRDefault="002E5D08">
      <w:pPr>
        <w:pStyle w:val="BodyText"/>
        <w:spacing w:after="120"/>
        <w:rPr>
          <w:rFonts w:ascii="Times New Roman" w:hAnsi="Times New Roman" w:cs="Times New Roman"/>
          <w:sz w:val="24"/>
          <w:szCs w:val="24"/>
        </w:rPr>
      </w:pPr>
      <w:r>
        <w:rPr>
          <w:rFonts w:ascii="Times New Roman" w:hAnsi="Times New Roman"/>
          <w:sz w:val="24"/>
        </w:rPr>
        <w:t xml:space="preserve">Kad je riječ o sastojcima boje, proizvodnja otapala, veziva i titanijeva dioksida (bijeli pigment) ima važan utjecaj na okoliš tijekom vađenja sirovina i proizvodnje boja. Boje na bazi otapala imaju </w:t>
      </w:r>
      <w:r>
        <w:rPr>
          <w:rFonts w:ascii="Times New Roman" w:hAnsi="Times New Roman"/>
          <w:sz w:val="24"/>
        </w:rPr>
        <w:t>veći ukupni utjecaj na okoliš od boja na bazi vode. Opasni funkcionalni dodaci boji kao što su konzervansi, plastifikatori, pigmenti i punila mogu imati niz posljedica na zdravlje i okoliš.</w:t>
      </w:r>
    </w:p>
    <w:p w:rsidR="00D9472D" w:rsidRDefault="002E5D08">
      <w:pPr>
        <w:pStyle w:val="BodyText"/>
        <w:rPr>
          <w:rFonts w:ascii="Times New Roman" w:hAnsi="Times New Roman" w:cs="Times New Roman"/>
          <w:sz w:val="24"/>
          <w:szCs w:val="24"/>
        </w:rPr>
      </w:pPr>
      <w:r>
        <w:rPr>
          <w:rFonts w:ascii="Times New Roman" w:hAnsi="Times New Roman"/>
          <w:sz w:val="24"/>
        </w:rPr>
        <w:t xml:space="preserve">U slučaju oznaka na kolniku, staklene kuglice koje se dodaju boji </w:t>
      </w:r>
      <w:r>
        <w:rPr>
          <w:rFonts w:ascii="Times New Roman" w:hAnsi="Times New Roman"/>
          <w:sz w:val="24"/>
        </w:rPr>
        <w:t>imaju velik utjecaj na okoliš koji je povezan s njihovom proizvodnjom, a prvenstveno s energijom koja se upotrebljava za izradu kuglica. Probleme mogu uzrokovati i kontaminanti u staklu, kao što je arsen, zbog raspršivanja kuglica u okoliš. Na ukupni utjec</w:t>
      </w:r>
      <w:r>
        <w:rPr>
          <w:rFonts w:ascii="Times New Roman" w:hAnsi="Times New Roman"/>
          <w:sz w:val="24"/>
        </w:rPr>
        <w:t>aj na okoliš utječe i trajnost oznaka na kolniku.</w:t>
      </w:r>
    </w:p>
    <w:p w:rsidR="00D9472D" w:rsidRDefault="00D9472D">
      <w:pPr>
        <w:pStyle w:val="BodyText"/>
        <w:rPr>
          <w:sz w:val="24"/>
          <w:szCs w:val="24"/>
        </w:rPr>
      </w:pPr>
    </w:p>
    <w:tbl>
      <w:tblPr>
        <w:tblW w:w="12526" w:type="dxa"/>
        <w:jc w:val="center"/>
        <w:tblInd w:w="-2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900"/>
        <w:gridCol w:w="5848"/>
      </w:tblGrid>
      <w:tr w:rsidR="00D9472D">
        <w:trPr>
          <w:jc w:val="center"/>
        </w:trPr>
        <w:tc>
          <w:tcPr>
            <w:tcW w:w="5778" w:type="dxa"/>
            <w:tcBorders>
              <w:right w:val="nil"/>
            </w:tcBorders>
            <w:shd w:val="clear" w:color="auto" w:fill="C0C0C0"/>
          </w:tcPr>
          <w:p w:rsidR="00D9472D" w:rsidRDefault="002E5D08">
            <w:pPr>
              <w:jc w:val="center"/>
              <w:rPr>
                <w:b/>
                <w:bCs/>
                <w:sz w:val="24"/>
              </w:rPr>
            </w:pPr>
            <w:r>
              <w:rPr>
                <w:b/>
                <w:sz w:val="24"/>
              </w:rPr>
              <w:t>Ključni aspekti okoliša</w:t>
            </w:r>
          </w:p>
        </w:tc>
        <w:tc>
          <w:tcPr>
            <w:tcW w:w="900" w:type="dxa"/>
            <w:tcBorders>
              <w:left w:val="nil"/>
              <w:right w:val="nil"/>
            </w:tcBorders>
            <w:shd w:val="clear" w:color="auto" w:fill="C0C0C0"/>
          </w:tcPr>
          <w:p w:rsidR="00D9472D" w:rsidRDefault="00D9472D">
            <w:pPr>
              <w:rPr>
                <w:b/>
                <w:bCs/>
                <w:sz w:val="24"/>
              </w:rPr>
            </w:pPr>
          </w:p>
        </w:tc>
        <w:tc>
          <w:tcPr>
            <w:tcW w:w="5848" w:type="dxa"/>
            <w:tcBorders>
              <w:left w:val="nil"/>
            </w:tcBorders>
            <w:shd w:val="clear" w:color="auto" w:fill="C0C0C0"/>
          </w:tcPr>
          <w:p w:rsidR="00D9472D" w:rsidRDefault="002E5D08">
            <w:pPr>
              <w:jc w:val="center"/>
              <w:rPr>
                <w:b/>
                <w:bCs/>
                <w:sz w:val="24"/>
              </w:rPr>
            </w:pPr>
            <w:r>
              <w:rPr>
                <w:b/>
                <w:sz w:val="24"/>
              </w:rPr>
              <w:t>Pristup zelene javne nabave</w:t>
            </w:r>
          </w:p>
        </w:tc>
      </w:tr>
      <w:tr w:rsidR="00D9472D">
        <w:trPr>
          <w:trHeight w:val="2066"/>
          <w:jc w:val="center"/>
        </w:trPr>
        <w:tc>
          <w:tcPr>
            <w:tcW w:w="5778" w:type="dxa"/>
            <w:tcBorders>
              <w:right w:val="nil"/>
            </w:tcBorders>
          </w:tcPr>
          <w:p w:rsidR="00D9472D" w:rsidRDefault="002E5D08">
            <w:pPr>
              <w:numPr>
                <w:ilvl w:val="0"/>
                <w:numId w:val="9"/>
              </w:numPr>
              <w:spacing w:before="120"/>
              <w:ind w:left="714" w:hanging="357"/>
              <w:jc w:val="left"/>
              <w:rPr>
                <w:sz w:val="24"/>
              </w:rPr>
            </w:pPr>
            <w:r>
              <w:rPr>
                <w:sz w:val="24"/>
              </w:rPr>
              <w:t>Proizvodnja otapala, veziva i titanijeva dioksida</w:t>
            </w:r>
          </w:p>
          <w:p w:rsidR="00D9472D" w:rsidRDefault="002E5D08">
            <w:pPr>
              <w:numPr>
                <w:ilvl w:val="0"/>
                <w:numId w:val="9"/>
              </w:numPr>
              <w:jc w:val="left"/>
              <w:rPr>
                <w:sz w:val="24"/>
              </w:rPr>
            </w:pPr>
            <w:r>
              <w:rPr>
                <w:noProof/>
                <w:color w:val="0000FF"/>
                <w:sz w:val="24"/>
                <w:lang w:bidi="ar-SA"/>
              </w:rPr>
              <w:drawing>
                <wp:anchor distT="0" distB="0" distL="114300" distR="114300" simplePos="0" relativeHeight="251658240" behindDoc="0" locked="0" layoutInCell="1" allowOverlap="1" wp14:anchorId="30024B5B" wp14:editId="6311B11B">
                  <wp:simplePos x="0" y="0"/>
                  <wp:positionH relativeFrom="column">
                    <wp:posOffset>3471545</wp:posOffset>
                  </wp:positionH>
                  <wp:positionV relativeFrom="paragraph">
                    <wp:posOffset>50800</wp:posOffset>
                  </wp:positionV>
                  <wp:extent cx="829310" cy="621665"/>
                  <wp:effectExtent l="0" t="0" r="889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9310" cy="621665"/>
                          </a:xfrm>
                          <a:prstGeom prst="rect">
                            <a:avLst/>
                          </a:prstGeom>
                          <a:noFill/>
                        </pic:spPr>
                      </pic:pic>
                    </a:graphicData>
                  </a:graphic>
                </wp:anchor>
              </w:drawing>
            </w:r>
            <w:r>
              <w:rPr>
                <w:sz w:val="24"/>
              </w:rPr>
              <w:t>Proizvodnja staklenih kuglica za oznake na kolniku</w:t>
            </w:r>
          </w:p>
          <w:p w:rsidR="00D9472D" w:rsidRDefault="002E5D08">
            <w:pPr>
              <w:numPr>
                <w:ilvl w:val="0"/>
                <w:numId w:val="9"/>
              </w:numPr>
              <w:jc w:val="left"/>
              <w:rPr>
                <w:sz w:val="24"/>
              </w:rPr>
            </w:pPr>
            <w:r>
              <w:rPr>
                <w:sz w:val="24"/>
              </w:rPr>
              <w:t>Opasni funkcionalni dodaci</w:t>
            </w:r>
          </w:p>
          <w:p w:rsidR="00D9472D" w:rsidRDefault="002E5D08">
            <w:pPr>
              <w:numPr>
                <w:ilvl w:val="0"/>
                <w:numId w:val="9"/>
              </w:numPr>
              <w:jc w:val="left"/>
              <w:rPr>
                <w:sz w:val="24"/>
              </w:rPr>
            </w:pPr>
            <w:r>
              <w:rPr>
                <w:sz w:val="24"/>
              </w:rPr>
              <w:t>Trajnost proizvoda</w:t>
            </w:r>
          </w:p>
          <w:p w:rsidR="00D9472D" w:rsidRDefault="002E5D08">
            <w:pPr>
              <w:numPr>
                <w:ilvl w:val="0"/>
                <w:numId w:val="9"/>
              </w:numPr>
              <w:spacing w:after="120"/>
              <w:ind w:left="714" w:hanging="357"/>
              <w:jc w:val="left"/>
              <w:rPr>
                <w:sz w:val="24"/>
              </w:rPr>
            </w:pPr>
            <w:r>
              <w:rPr>
                <w:sz w:val="24"/>
              </w:rPr>
              <w:t>Otpad koji nastaje zbog neiskorištenih proizvoda</w:t>
            </w:r>
          </w:p>
        </w:tc>
        <w:tc>
          <w:tcPr>
            <w:tcW w:w="900" w:type="dxa"/>
            <w:tcBorders>
              <w:left w:val="nil"/>
              <w:right w:val="nil"/>
            </w:tcBorders>
          </w:tcPr>
          <w:p w:rsidR="00D9472D" w:rsidRDefault="00D9472D">
            <w:pPr>
              <w:rPr>
                <w:sz w:val="24"/>
              </w:rPr>
            </w:pPr>
          </w:p>
        </w:tc>
        <w:tc>
          <w:tcPr>
            <w:tcW w:w="5848" w:type="dxa"/>
            <w:tcBorders>
              <w:left w:val="nil"/>
            </w:tcBorders>
          </w:tcPr>
          <w:p w:rsidR="00D9472D" w:rsidRDefault="002E5D08">
            <w:pPr>
              <w:numPr>
                <w:ilvl w:val="0"/>
                <w:numId w:val="10"/>
              </w:numPr>
              <w:tabs>
                <w:tab w:val="clear" w:pos="720"/>
                <w:tab w:val="num" w:pos="936"/>
              </w:tabs>
              <w:ind w:left="936"/>
              <w:jc w:val="left"/>
              <w:rPr>
                <w:sz w:val="24"/>
              </w:rPr>
            </w:pPr>
            <w:r>
              <w:rPr>
                <w:sz w:val="24"/>
              </w:rPr>
              <w:t>Smanjiti utjecaj proizvodnje rješavanjem pitanja povezanih s određenim sastojcima i doziranjem</w:t>
            </w:r>
          </w:p>
          <w:p w:rsidR="00D9472D" w:rsidRDefault="002E5D08">
            <w:pPr>
              <w:numPr>
                <w:ilvl w:val="0"/>
                <w:numId w:val="10"/>
              </w:numPr>
              <w:tabs>
                <w:tab w:val="clear" w:pos="720"/>
                <w:tab w:val="num" w:pos="936"/>
              </w:tabs>
              <w:ind w:left="936"/>
              <w:jc w:val="left"/>
              <w:rPr>
                <w:sz w:val="24"/>
              </w:rPr>
            </w:pPr>
            <w:r>
              <w:rPr>
                <w:sz w:val="24"/>
              </w:rPr>
              <w:t>Smanjiti opasna svojstva cijele formulacije</w:t>
            </w:r>
          </w:p>
          <w:p w:rsidR="00D9472D" w:rsidRDefault="002E5D08">
            <w:pPr>
              <w:numPr>
                <w:ilvl w:val="0"/>
                <w:numId w:val="10"/>
              </w:numPr>
              <w:tabs>
                <w:tab w:val="clear" w:pos="720"/>
                <w:tab w:val="num" w:pos="936"/>
              </w:tabs>
              <w:ind w:left="936"/>
              <w:jc w:val="left"/>
              <w:rPr>
                <w:sz w:val="24"/>
              </w:rPr>
            </w:pPr>
            <w:r>
              <w:rPr>
                <w:sz w:val="24"/>
              </w:rPr>
              <w:t>Promicati trajne boje i oznake na kolniku</w:t>
            </w:r>
          </w:p>
          <w:p w:rsidR="00D9472D" w:rsidRDefault="002E5D08">
            <w:pPr>
              <w:numPr>
                <w:ilvl w:val="0"/>
                <w:numId w:val="10"/>
              </w:numPr>
              <w:tabs>
                <w:tab w:val="clear" w:pos="720"/>
                <w:tab w:val="num" w:pos="936"/>
              </w:tabs>
              <w:ind w:left="936"/>
              <w:jc w:val="left"/>
              <w:rPr>
                <w:sz w:val="24"/>
              </w:rPr>
            </w:pPr>
            <w:r>
              <w:rPr>
                <w:sz w:val="24"/>
              </w:rPr>
              <w:t xml:space="preserve">Potaknuti smanjenje </w:t>
            </w:r>
            <w:r>
              <w:rPr>
                <w:sz w:val="24"/>
              </w:rPr>
              <w:t>količine ostataka proizvoda, uključujući ponovnu upotrebu i recikliranje</w:t>
            </w:r>
          </w:p>
        </w:tc>
      </w:tr>
    </w:tbl>
    <w:p w:rsidR="00D9472D" w:rsidRDefault="002E5D08">
      <w:pPr>
        <w:ind w:left="2700"/>
        <w:rPr>
          <w:i/>
          <w:szCs w:val="22"/>
        </w:rPr>
      </w:pPr>
      <w:r>
        <w:rPr>
          <w:i/>
        </w:rPr>
        <w:t>Redoslijed kojim su utjecaji nabrojeni ne odražava nužno njihovu važnost.</w:t>
      </w:r>
    </w:p>
    <w:p w:rsidR="00D9472D" w:rsidRDefault="00D9472D">
      <w:pPr>
        <w:spacing w:before="240"/>
        <w:rPr>
          <w:sz w:val="24"/>
        </w:rPr>
      </w:pPr>
    </w:p>
    <w:p w:rsidR="00D9472D" w:rsidRDefault="002E5D08">
      <w:pPr>
        <w:spacing w:before="240"/>
        <w:rPr>
          <w:sz w:val="24"/>
        </w:rPr>
      </w:pPr>
      <w:r>
        <w:rPr>
          <w:sz w:val="24"/>
        </w:rPr>
        <w:t xml:space="preserve">Detaljne informacije o bojama, oznakama na kolniku i povezanim ugovorima o izvođenju radova, uključujući </w:t>
      </w:r>
      <w:r>
        <w:rPr>
          <w:sz w:val="24"/>
        </w:rPr>
        <w:t>informacije o povezanom zakonodavstvu, normama i tehničkim izvorima koji se upotrebljavaju kao dokazi, nalaze se u tehničkom izvješću.</w:t>
      </w:r>
    </w:p>
    <w:p w:rsidR="00D9472D" w:rsidRDefault="00D9472D">
      <w:pPr>
        <w:spacing w:after="120"/>
        <w:rPr>
          <w:b/>
          <w:bCs/>
          <w:sz w:val="28"/>
          <w:szCs w:val="28"/>
        </w:rPr>
        <w:sectPr w:rsidR="00D9472D">
          <w:headerReference w:type="even" r:id="rId23"/>
          <w:headerReference w:type="default" r:id="rId24"/>
          <w:footerReference w:type="even" r:id="rId25"/>
          <w:footerReference w:type="default" r:id="rId26"/>
          <w:headerReference w:type="first" r:id="rId27"/>
          <w:footerReference w:type="first" r:id="rId28"/>
          <w:pgSz w:w="16838" w:h="11906" w:orient="landscape"/>
          <w:pgMar w:top="1800" w:right="1440" w:bottom="1800" w:left="1440" w:header="708" w:footer="708" w:gutter="0"/>
          <w:cols w:space="708"/>
          <w:titlePg/>
          <w:docGrid w:linePitch="360"/>
        </w:sectPr>
      </w:pPr>
    </w:p>
    <w:p w:rsidR="00D9472D" w:rsidRDefault="002E5D08">
      <w:pPr>
        <w:pStyle w:val="Heading1"/>
      </w:pPr>
      <w:r>
        <w:t>MJERILA EU-A ZA ZELENU JAVNU</w:t>
      </w:r>
      <w:r>
        <w:t xml:space="preserve"> NABAVU ZA BOJE, LAKOVE I OZNAKE NA KOLNIKU</w:t>
      </w:r>
    </w:p>
    <w:tbl>
      <w:tblPr>
        <w:tblW w:w="501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7"/>
        <w:gridCol w:w="7121"/>
      </w:tblGrid>
      <w:tr w:rsidR="00D9472D">
        <w:tc>
          <w:tcPr>
            <w:tcW w:w="5000" w:type="pct"/>
            <w:gridSpan w:val="2"/>
            <w:shd w:val="clear" w:color="auto" w:fill="auto"/>
          </w:tcPr>
          <w:p w:rsidR="00D9472D" w:rsidRDefault="002E5D08">
            <w:pPr>
              <w:pStyle w:val="Heading2"/>
              <w:rPr>
                <w:szCs w:val="22"/>
              </w:rPr>
            </w:pPr>
            <w:r>
              <w:t>Boje i lakovi</w:t>
            </w:r>
          </w:p>
        </w:tc>
      </w:tr>
      <w:tr w:rsidR="00D9472D">
        <w:tc>
          <w:tcPr>
            <w:tcW w:w="2494" w:type="pct"/>
            <w:shd w:val="clear" w:color="auto" w:fill="FFC000"/>
          </w:tcPr>
          <w:p w:rsidR="00D9472D" w:rsidRDefault="002E5D08">
            <w:pPr>
              <w:spacing w:before="40" w:after="40"/>
              <w:jc w:val="center"/>
              <w:rPr>
                <w:b/>
                <w:szCs w:val="22"/>
              </w:rPr>
            </w:pPr>
            <w:r>
              <w:rPr>
                <w:b/>
              </w:rPr>
              <w:t>Osnovna mjerila</w:t>
            </w:r>
          </w:p>
        </w:tc>
        <w:tc>
          <w:tcPr>
            <w:tcW w:w="2506" w:type="pct"/>
            <w:shd w:val="clear" w:color="auto" w:fill="FFC000"/>
          </w:tcPr>
          <w:p w:rsidR="00D9472D" w:rsidRDefault="002E5D08">
            <w:pPr>
              <w:spacing w:before="40" w:after="40"/>
              <w:jc w:val="center"/>
              <w:rPr>
                <w:szCs w:val="22"/>
              </w:rPr>
            </w:pPr>
            <w:r>
              <w:rPr>
                <w:b/>
              </w:rPr>
              <w:t>Sveobuhvatna mjerila</w:t>
            </w:r>
          </w:p>
        </w:tc>
      </w:tr>
      <w:tr w:rsidR="00D9472D">
        <w:tc>
          <w:tcPr>
            <w:tcW w:w="5000" w:type="pct"/>
            <w:gridSpan w:val="2"/>
            <w:shd w:val="clear" w:color="auto" w:fill="92D050"/>
          </w:tcPr>
          <w:p w:rsidR="00D9472D" w:rsidRDefault="002E5D08">
            <w:pPr>
              <w:spacing w:before="40" w:after="40"/>
              <w:jc w:val="center"/>
              <w:rPr>
                <w:b/>
                <w:szCs w:val="22"/>
              </w:rPr>
            </w:pPr>
            <w:r>
              <w:rPr>
                <w:b/>
              </w:rPr>
              <w:t>PREDMET</w:t>
            </w:r>
          </w:p>
        </w:tc>
      </w:tr>
      <w:tr w:rsidR="00D9472D">
        <w:tc>
          <w:tcPr>
            <w:tcW w:w="5000" w:type="pct"/>
            <w:gridSpan w:val="2"/>
            <w:shd w:val="clear" w:color="auto" w:fill="92D050"/>
          </w:tcPr>
          <w:p w:rsidR="00D9472D" w:rsidRDefault="002E5D08">
            <w:pPr>
              <w:spacing w:before="40" w:after="40"/>
              <w:jc w:val="center"/>
              <w:rPr>
                <w:b/>
                <w:bCs/>
                <w:szCs w:val="20"/>
              </w:rPr>
            </w:pPr>
            <w:r>
              <w:rPr>
                <w:b/>
              </w:rPr>
              <w:t>Nabava boja i lakova sa smanjenim utjecajem na okoliš</w:t>
            </w:r>
          </w:p>
        </w:tc>
      </w:tr>
      <w:tr w:rsidR="00D9472D">
        <w:tblPrEx>
          <w:tblLook w:val="04A0" w:firstRow="1" w:lastRow="0" w:firstColumn="1" w:lastColumn="0" w:noHBand="0" w:noVBand="1"/>
        </w:tblPrEx>
        <w:tc>
          <w:tcPr>
            <w:tcW w:w="5000" w:type="pct"/>
            <w:gridSpan w:val="2"/>
            <w:shd w:val="clear" w:color="auto" w:fill="92D050"/>
          </w:tcPr>
          <w:p w:rsidR="00D9472D" w:rsidRDefault="002E5D08">
            <w:pPr>
              <w:spacing w:before="40" w:after="40"/>
              <w:jc w:val="center"/>
              <w:rPr>
                <w:b/>
                <w:szCs w:val="22"/>
              </w:rPr>
            </w:pPr>
            <w:r>
              <w:rPr>
                <w:b/>
              </w:rPr>
              <w:t>TEHNIČKE SPECIFIKACIJE</w:t>
            </w:r>
          </w:p>
        </w:tc>
      </w:tr>
      <w:tr w:rsidR="00D9472D">
        <w:tblPrEx>
          <w:tblLook w:val="04A0" w:firstRow="1" w:lastRow="0" w:firstColumn="1" w:lastColumn="0" w:noHBand="0" w:noVBand="1"/>
        </w:tblPrEx>
        <w:tc>
          <w:tcPr>
            <w:tcW w:w="5000" w:type="pct"/>
            <w:gridSpan w:val="2"/>
            <w:shd w:val="clear" w:color="auto" w:fill="auto"/>
          </w:tcPr>
          <w:p w:rsidR="00D9472D" w:rsidRDefault="002E5D08">
            <w:pPr>
              <w:pStyle w:val="ListParagraph"/>
              <w:numPr>
                <w:ilvl w:val="0"/>
                <w:numId w:val="30"/>
              </w:numPr>
              <w:tabs>
                <w:tab w:val="left" w:pos="1951"/>
                <w:tab w:val="left" w:pos="4502"/>
              </w:tabs>
              <w:rPr>
                <w:b/>
                <w:szCs w:val="22"/>
              </w:rPr>
            </w:pPr>
            <w:r>
              <w:rPr>
                <w:b/>
              </w:rPr>
              <w:t>Formulacija boje</w:t>
            </w:r>
          </w:p>
          <w:p w:rsidR="00D9472D" w:rsidRDefault="00D9472D">
            <w:pPr>
              <w:pStyle w:val="ListParagraph"/>
              <w:numPr>
                <w:ilvl w:val="0"/>
                <w:numId w:val="30"/>
              </w:numPr>
              <w:tabs>
                <w:tab w:val="left" w:pos="1951"/>
                <w:tab w:val="left" w:pos="4502"/>
              </w:tabs>
              <w:rPr>
                <w:b/>
                <w:szCs w:val="22"/>
              </w:rPr>
            </w:pPr>
          </w:p>
        </w:tc>
      </w:tr>
      <w:tr w:rsidR="00D9472D">
        <w:tblPrEx>
          <w:tblLook w:val="04A0" w:firstRow="1" w:lastRow="0" w:firstColumn="1" w:lastColumn="0" w:noHBand="0" w:noVBand="1"/>
        </w:tblPrEx>
        <w:tc>
          <w:tcPr>
            <w:tcW w:w="2494" w:type="pct"/>
            <w:shd w:val="clear" w:color="auto" w:fill="auto"/>
          </w:tcPr>
          <w:p w:rsidR="00D9472D" w:rsidRDefault="002E5D08">
            <w:pPr>
              <w:tabs>
                <w:tab w:val="left" w:pos="1951"/>
                <w:tab w:val="left" w:pos="4502"/>
              </w:tabs>
              <w:rPr>
                <w:b/>
                <w:szCs w:val="22"/>
              </w:rPr>
            </w:pPr>
            <w:r>
              <w:rPr>
                <w:b/>
              </w:rPr>
              <w:t>1.1. Udio bijelih pigmenata</w:t>
            </w:r>
          </w:p>
          <w:p w:rsidR="00D9472D" w:rsidRDefault="002E5D08">
            <w:pPr>
              <w:rPr>
                <w:i/>
                <w:noProof/>
                <w:szCs w:val="22"/>
              </w:rPr>
            </w:pPr>
            <w:r>
              <w:rPr>
                <w:i/>
                <w:noProof/>
              </w:rPr>
              <w:t xml:space="preserve">(Ovaj se zahtjev ne </w:t>
            </w:r>
            <w:r>
              <w:rPr>
                <w:i/>
                <w:noProof/>
              </w:rPr>
              <w:t>primjenjuje na prozirne i poluprozirne premaze)</w:t>
            </w:r>
          </w:p>
          <w:p w:rsidR="00D9472D" w:rsidRDefault="00D9472D">
            <w:pPr>
              <w:rPr>
                <w:i/>
                <w:noProof/>
                <w:szCs w:val="22"/>
              </w:rPr>
            </w:pPr>
          </w:p>
          <w:p w:rsidR="00D9472D" w:rsidRDefault="002E5D08">
            <w:pPr>
              <w:rPr>
                <w:noProof/>
                <w:szCs w:val="22"/>
              </w:rPr>
            </w:pPr>
            <w:r>
              <w:t>Udio bijelih pigmenata u bojama (bijeli anorganski pigmenti s refraktornim indeksom većim od 1,8) po m</w:t>
            </w:r>
            <w:r>
              <w:rPr>
                <w:noProof/>
                <w:vertAlign w:val="superscript"/>
              </w:rPr>
              <w:t>2</w:t>
            </w:r>
            <w:r>
              <w:t xml:space="preserve"> suhog filma mora biti jednak ili manji od:</w:t>
            </w:r>
          </w:p>
          <w:p w:rsidR="00D9472D" w:rsidRDefault="002E5D08">
            <w:pPr>
              <w:pStyle w:val="ListParagraph"/>
              <w:numPr>
                <w:ilvl w:val="0"/>
                <w:numId w:val="22"/>
              </w:numPr>
              <w:ind w:left="394"/>
            </w:pPr>
            <w:r>
              <w:t>38 g/m</w:t>
            </w:r>
            <w:r>
              <w:rPr>
                <w:noProof/>
                <w:vertAlign w:val="superscript"/>
              </w:rPr>
              <w:t>2</w:t>
            </w:r>
            <w:r>
              <w:t xml:space="preserve"> za boje za unutarnju primjenu, uz iznimku zidnih boja za unutarnju primjenu za koje se tvrdi da su u razredu 1. otpornosti na mokro trljanje (WSR) na koje se primjenjuje vrijednost od 40 g/m</w:t>
            </w:r>
            <w:r>
              <w:rPr>
                <w:vertAlign w:val="superscript"/>
              </w:rPr>
              <w:t>2</w:t>
            </w:r>
          </w:p>
          <w:p w:rsidR="00D9472D" w:rsidRDefault="002E5D08">
            <w:pPr>
              <w:pStyle w:val="ListParagraph"/>
              <w:numPr>
                <w:ilvl w:val="0"/>
                <w:numId w:val="22"/>
              </w:numPr>
              <w:ind w:left="394"/>
              <w:rPr>
                <w:noProof/>
                <w:szCs w:val="22"/>
              </w:rPr>
            </w:pPr>
            <w:r>
              <w:t>40 g/m</w:t>
            </w:r>
            <w:r>
              <w:rPr>
                <w:noProof/>
                <w:vertAlign w:val="superscript"/>
              </w:rPr>
              <w:t>2</w:t>
            </w:r>
            <w:r>
              <w:t xml:space="preserve"> za sve boje za vanjsku primjenu.</w:t>
            </w:r>
          </w:p>
          <w:p w:rsidR="00D9472D" w:rsidRDefault="00D9472D">
            <w:pPr>
              <w:rPr>
                <w:noProof/>
                <w:szCs w:val="22"/>
              </w:rPr>
            </w:pPr>
          </w:p>
          <w:p w:rsidR="00D9472D" w:rsidRDefault="002E5D08">
            <w:pPr>
              <w:rPr>
                <w:noProof/>
                <w:szCs w:val="22"/>
              </w:rPr>
            </w:pPr>
            <w:r>
              <w:t>Udio bijelih pigmenat</w:t>
            </w:r>
            <w:r>
              <w:t>a u osnovnim i temeljnim premazima (bijeli anorganski pigmenti s refraktornim indeksom većim od 1,8) po m</w:t>
            </w:r>
            <w:r>
              <w:rPr>
                <w:noProof/>
                <w:vertAlign w:val="superscript"/>
              </w:rPr>
              <w:t>2</w:t>
            </w:r>
            <w:r>
              <w:t xml:space="preserve"> suhog filma mora biti jednak ili manji od 25 g/m</w:t>
            </w:r>
            <w:r>
              <w:rPr>
                <w:noProof/>
                <w:vertAlign w:val="superscript"/>
              </w:rPr>
              <w:t>2</w:t>
            </w:r>
            <w:r>
              <w:t>.</w:t>
            </w:r>
          </w:p>
          <w:p w:rsidR="00D9472D" w:rsidRDefault="00D9472D">
            <w:pPr>
              <w:rPr>
                <w:b/>
                <w:szCs w:val="22"/>
              </w:rPr>
            </w:pPr>
          </w:p>
          <w:p w:rsidR="00D9472D" w:rsidRDefault="002E5D08">
            <w:pPr>
              <w:rPr>
                <w:b/>
                <w:szCs w:val="22"/>
              </w:rPr>
            </w:pPr>
            <w:r>
              <w:rPr>
                <w:b/>
              </w:rPr>
              <w:t>Provjera:</w:t>
            </w:r>
          </w:p>
          <w:p w:rsidR="00D9472D" w:rsidRDefault="002E5D08">
            <w:pPr>
              <w:rPr>
                <w:noProof/>
                <w:szCs w:val="22"/>
              </w:rPr>
            </w:pPr>
            <w:r>
              <w:t>Ponuditelj dostavlja dokumente za formulaciju boje u kojima se prikazuje udio bijelih p</w:t>
            </w:r>
            <w:r>
              <w:t>igmenata. Prema potrebi se dokazuje razred 1. otpornosti na mokro trljanje na temelju izvješća o ispitivanju koje se provodi u skladu s normom EN 13300 uz primjenu metode EN ISO 11998 (Ispitivanje mogućnosti čišćenja i otpornosti na trljanje).</w:t>
            </w:r>
          </w:p>
          <w:p w:rsidR="00D9472D" w:rsidRDefault="002E5D08">
            <w:pPr>
              <w:rPr>
                <w:noProof/>
                <w:szCs w:val="22"/>
              </w:rPr>
            </w:pPr>
            <w:r>
              <w:t>Proizvodi ko</w:t>
            </w:r>
            <w:r>
              <w:t>jima je dodijeljen znak za okoliš EU-a za boje i lakove, kako je utvrđeno Odlukom Komisije (EU) 2014/312/EU, smatraju se usklađenima.</w:t>
            </w:r>
          </w:p>
          <w:p w:rsidR="00D9472D" w:rsidRDefault="00D9472D">
            <w:pPr>
              <w:rPr>
                <w:szCs w:val="22"/>
              </w:rPr>
            </w:pPr>
          </w:p>
        </w:tc>
        <w:tc>
          <w:tcPr>
            <w:tcW w:w="2506" w:type="pct"/>
            <w:shd w:val="clear" w:color="auto" w:fill="auto"/>
          </w:tcPr>
          <w:p w:rsidR="00D9472D" w:rsidRDefault="002E5D08">
            <w:pPr>
              <w:tabs>
                <w:tab w:val="left" w:pos="1951"/>
                <w:tab w:val="left" w:pos="4502"/>
              </w:tabs>
              <w:rPr>
                <w:b/>
                <w:szCs w:val="22"/>
              </w:rPr>
            </w:pPr>
            <w:r>
              <w:rPr>
                <w:b/>
              </w:rPr>
              <w:t>1.1. Udio bijelih pigmenata</w:t>
            </w:r>
          </w:p>
          <w:p w:rsidR="00D9472D" w:rsidRDefault="002E5D08">
            <w:pPr>
              <w:tabs>
                <w:tab w:val="left" w:pos="1951"/>
                <w:tab w:val="left" w:pos="4502"/>
              </w:tabs>
              <w:rPr>
                <w:i/>
                <w:noProof/>
                <w:szCs w:val="22"/>
              </w:rPr>
            </w:pPr>
            <w:r>
              <w:rPr>
                <w:i/>
                <w:noProof/>
              </w:rPr>
              <w:t>(Ovaj se zahtjev ne primjenjuje na prozirne i poluprozirne premaze)</w:t>
            </w:r>
          </w:p>
          <w:p w:rsidR="00D9472D" w:rsidRDefault="00D9472D">
            <w:pPr>
              <w:tabs>
                <w:tab w:val="left" w:pos="1951"/>
                <w:tab w:val="left" w:pos="4502"/>
              </w:tabs>
              <w:rPr>
                <w:b/>
                <w:szCs w:val="22"/>
              </w:rPr>
            </w:pPr>
          </w:p>
          <w:p w:rsidR="00D9472D" w:rsidRDefault="002E5D08">
            <w:pPr>
              <w:rPr>
                <w:noProof/>
                <w:szCs w:val="22"/>
              </w:rPr>
            </w:pPr>
            <w:r>
              <w:t>Udio bijelih pigmenata u</w:t>
            </w:r>
            <w:r>
              <w:t xml:space="preserve"> bojama (bijeli anorganski pigmenti s refraktornim indeksom većim od 1,8) po m</w:t>
            </w:r>
            <w:r>
              <w:rPr>
                <w:noProof/>
                <w:vertAlign w:val="superscript"/>
              </w:rPr>
              <w:t>2</w:t>
            </w:r>
            <w:r>
              <w:t xml:space="preserve"> suhog filma mora biti jednak ili manji od:</w:t>
            </w:r>
          </w:p>
          <w:p w:rsidR="00D9472D" w:rsidRDefault="002E5D08">
            <w:pPr>
              <w:pStyle w:val="ListParagraph"/>
              <w:numPr>
                <w:ilvl w:val="0"/>
                <w:numId w:val="23"/>
              </w:numPr>
              <w:ind w:left="387"/>
              <w:rPr>
                <w:szCs w:val="22"/>
              </w:rPr>
            </w:pPr>
            <w:r>
              <w:t>36 g/m</w:t>
            </w:r>
            <w:r>
              <w:rPr>
                <w:vertAlign w:val="superscript"/>
              </w:rPr>
              <w:t>2</w:t>
            </w:r>
            <w:r>
              <w:t xml:space="preserve"> za proizvode za unutarnju primjenu, uz iznimku zidnih boja za unutarnju primjenu za koje se tvrdi da su u razredu 1. otpornos</w:t>
            </w:r>
            <w:r>
              <w:t>ti na mokro trljanje (WSR) na koje se primjenjuje vrijednost od 40 g/m</w:t>
            </w:r>
            <w:r>
              <w:rPr>
                <w:vertAlign w:val="superscript"/>
              </w:rPr>
              <w:t>2</w:t>
            </w:r>
          </w:p>
          <w:p w:rsidR="00D9472D" w:rsidRDefault="002E5D08">
            <w:pPr>
              <w:pStyle w:val="ListParagraph"/>
              <w:numPr>
                <w:ilvl w:val="0"/>
                <w:numId w:val="23"/>
              </w:numPr>
              <w:ind w:left="387"/>
              <w:rPr>
                <w:noProof/>
                <w:szCs w:val="22"/>
              </w:rPr>
            </w:pPr>
            <w:r>
              <w:t>38 g/m</w:t>
            </w:r>
            <w:r>
              <w:rPr>
                <w:vertAlign w:val="superscript"/>
              </w:rPr>
              <w:t>2</w:t>
            </w:r>
            <w:r>
              <w:t xml:space="preserve"> za boje za vanjsku primjenu.</w:t>
            </w:r>
          </w:p>
          <w:p w:rsidR="00D9472D" w:rsidRDefault="00D9472D">
            <w:pPr>
              <w:rPr>
                <w:noProof/>
                <w:szCs w:val="22"/>
              </w:rPr>
            </w:pPr>
          </w:p>
          <w:p w:rsidR="00D9472D" w:rsidRDefault="002E5D08">
            <w:pPr>
              <w:rPr>
                <w:noProof/>
                <w:szCs w:val="22"/>
              </w:rPr>
            </w:pPr>
            <w:r>
              <w:t>Udio bijelih pigmenata u osnovnim i temeljnim premazima (bijeli anorganski pigmenti s refraktornim indeksom većim od 1,8) po m</w:t>
            </w:r>
            <w:r>
              <w:rPr>
                <w:noProof/>
                <w:vertAlign w:val="superscript"/>
              </w:rPr>
              <w:t>2</w:t>
            </w:r>
            <w:r>
              <w:t xml:space="preserve"> suhog filma mora b</w:t>
            </w:r>
            <w:r>
              <w:t>iti jednak ili manji od 25 g/m</w:t>
            </w:r>
            <w:r>
              <w:rPr>
                <w:noProof/>
                <w:vertAlign w:val="superscript"/>
              </w:rPr>
              <w:t>2</w:t>
            </w:r>
            <w:r>
              <w:t>.</w:t>
            </w:r>
          </w:p>
          <w:p w:rsidR="00D9472D" w:rsidRDefault="00D9472D">
            <w:pPr>
              <w:rPr>
                <w:szCs w:val="22"/>
              </w:rPr>
            </w:pPr>
          </w:p>
          <w:p w:rsidR="00D9472D" w:rsidRDefault="002E5D08">
            <w:pPr>
              <w:rPr>
                <w:b/>
                <w:szCs w:val="22"/>
              </w:rPr>
            </w:pPr>
            <w:r>
              <w:rPr>
                <w:b/>
              </w:rPr>
              <w:t>Provjera:</w:t>
            </w:r>
          </w:p>
          <w:p w:rsidR="00D9472D" w:rsidRDefault="002E5D08">
            <w:pPr>
              <w:rPr>
                <w:noProof/>
                <w:szCs w:val="22"/>
              </w:rPr>
            </w:pPr>
            <w:r>
              <w:t xml:space="preserve">Ponuditelj dostavlja dokumente za formulaciju boje u kojima se prikazuje udio bijelih pigmenata. Prema potrebi se dokazuje razred 1. otpornosti na mokro trljanje na temelju izvješća o ispitivanju koje se provodi </w:t>
            </w:r>
            <w:r>
              <w:t>u skladu s normom EN 13300 uz primjenu metode EN ISO 11998 (Ispitivanje mogućnosti čišćenja i otpornosti na trljanje).</w:t>
            </w:r>
          </w:p>
          <w:p w:rsidR="00D9472D" w:rsidRDefault="002E5D08">
            <w:pPr>
              <w:rPr>
                <w:noProof/>
                <w:szCs w:val="22"/>
              </w:rPr>
            </w:pPr>
            <w:r>
              <w:t>Proizvodi kojima je dodijeljen znak za okoliš EU-a za boje i lakove, kako je utvrđeno Odlukom Komisije (EU) 2014/312/EU, smatraju se uskl</w:t>
            </w:r>
            <w:r>
              <w:t>ađenima.</w:t>
            </w:r>
          </w:p>
          <w:p w:rsidR="00D9472D" w:rsidRDefault="00D9472D">
            <w:pPr>
              <w:tabs>
                <w:tab w:val="left" w:pos="1951"/>
                <w:tab w:val="left" w:pos="4502"/>
              </w:tabs>
              <w:rPr>
                <w:szCs w:val="22"/>
              </w:rPr>
            </w:pPr>
          </w:p>
        </w:tc>
      </w:tr>
    </w:tbl>
    <w:p w:rsidR="00D9472D" w:rsidRDefault="00D9472D">
      <w:pPr>
        <w:rPr>
          <w:szCs w:val="22"/>
        </w:rPr>
        <w:sectPr w:rsidR="00D9472D">
          <w:headerReference w:type="even" r:id="rId29"/>
          <w:headerReference w:type="default" r:id="rId30"/>
          <w:footerReference w:type="even" r:id="rId31"/>
          <w:footerReference w:type="default" r:id="rId32"/>
          <w:headerReference w:type="first" r:id="rId33"/>
          <w:footerReference w:type="first" r:id="rId34"/>
          <w:pgSz w:w="16838" w:h="11906" w:orient="landscape"/>
          <w:pgMar w:top="1800" w:right="1440" w:bottom="1800" w:left="1440" w:header="708" w:footer="708" w:gutter="0"/>
          <w:cols w:space="708"/>
          <w:titlePg/>
          <w:docGrid w:linePitch="360"/>
        </w:sectPr>
      </w:pPr>
    </w:p>
    <w:tbl>
      <w:tblPr>
        <w:tblW w:w="501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7"/>
        <w:gridCol w:w="7121"/>
      </w:tblGrid>
      <w:tr w:rsidR="00D9472D">
        <w:tc>
          <w:tcPr>
            <w:tcW w:w="2494" w:type="pct"/>
            <w:shd w:val="clear" w:color="auto" w:fill="auto"/>
          </w:tcPr>
          <w:p w:rsidR="00D9472D" w:rsidRDefault="002E5D08">
            <w:pPr>
              <w:rPr>
                <w:b/>
                <w:szCs w:val="22"/>
              </w:rPr>
            </w:pPr>
            <w:r>
              <w:rPr>
                <w:b/>
              </w:rPr>
              <w:t xml:space="preserve">1.2. Udio hlapivih organskih spojeva </w:t>
            </w:r>
          </w:p>
          <w:p w:rsidR="00D9472D" w:rsidRDefault="00D9472D">
            <w:pPr>
              <w:rPr>
                <w:szCs w:val="22"/>
              </w:rPr>
            </w:pPr>
          </w:p>
          <w:p w:rsidR="00D9472D" w:rsidRDefault="002E5D08">
            <w:pPr>
              <w:rPr>
                <w:noProof/>
                <w:szCs w:val="22"/>
              </w:rPr>
            </w:pPr>
            <w:r>
              <w:t>Najveći udio hlapivih organskih spojeva (HOS-ova) ne smije prelaziti granične vrijednosti navedene u tablici 1.</w:t>
            </w:r>
          </w:p>
          <w:p w:rsidR="00D9472D" w:rsidRDefault="002E5D08">
            <w:pPr>
              <w:rPr>
                <w:noProof/>
                <w:szCs w:val="22"/>
              </w:rPr>
            </w:pPr>
            <w:r>
              <w:t>Udio hlapivih organskih spojeva određuje se za gotove proizvode spremne za uporabu i uključuje sve preporučene dodatke prije nanošenja, kao što su koloranti i/ili razrjeđivači.</w:t>
            </w:r>
          </w:p>
          <w:p w:rsidR="00D9472D" w:rsidRDefault="00D9472D">
            <w:pPr>
              <w:rPr>
                <w:b/>
                <w:bCs/>
                <w:szCs w:val="22"/>
              </w:rPr>
            </w:pPr>
          </w:p>
          <w:p w:rsidR="00D9472D" w:rsidRDefault="002E5D08">
            <w:pPr>
              <w:pStyle w:val="StyleStyleCaption11ptItalicItalic"/>
            </w:pPr>
            <w:r>
              <w:t>Tablica </w:t>
            </w:r>
            <w:r>
              <w:fldChar w:fldCharType="begin"/>
            </w:r>
            <w:r>
              <w:instrText xml:space="preserve"> SEQ Table \* ARABIC </w:instrText>
            </w:r>
            <w:r>
              <w:fldChar w:fldCharType="separate"/>
            </w:r>
            <w:r>
              <w:rPr>
                <w:noProof/>
              </w:rPr>
              <w:t>1</w:t>
            </w:r>
            <w:r>
              <w:rPr>
                <w:noProof/>
              </w:rPr>
              <w:fldChar w:fldCharType="end"/>
            </w:r>
            <w:r>
              <w:t>. Granične vrijednosti udjela hlapivih organs</w:t>
            </w:r>
            <w:r>
              <w:t>kih spojeva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8"/>
              <w:gridCol w:w="1529"/>
            </w:tblGrid>
            <w:tr w:rsidR="00D9472D">
              <w:trPr>
                <w:jc w:val="center"/>
              </w:trPr>
              <w:tc>
                <w:tcPr>
                  <w:tcW w:w="4568" w:type="dxa"/>
                </w:tcPr>
                <w:p w:rsidR="00D9472D" w:rsidRDefault="002E5D08">
                  <w:pPr>
                    <w:rPr>
                      <w:b/>
                      <w:bCs/>
                      <w:szCs w:val="22"/>
                    </w:rPr>
                  </w:pPr>
                  <w:r>
                    <w:rPr>
                      <w:b/>
                    </w:rPr>
                    <w:t xml:space="preserve">Opis proizvoda </w:t>
                  </w:r>
                  <w:r>
                    <w:rPr>
                      <w:color w:val="000000"/>
                    </w:rPr>
                    <w:t>(uz označivanje potkategorije u skladu s Direktivom 2004/42/EZ)</w:t>
                  </w:r>
                </w:p>
              </w:tc>
              <w:tc>
                <w:tcPr>
                  <w:tcW w:w="1529" w:type="dxa"/>
                </w:tcPr>
                <w:p w:rsidR="00D9472D" w:rsidRDefault="002E5D08">
                  <w:pPr>
                    <w:ind w:left="248" w:hanging="248"/>
                    <w:jc w:val="center"/>
                    <w:rPr>
                      <w:b/>
                      <w:bCs/>
                      <w:szCs w:val="22"/>
                    </w:rPr>
                  </w:pPr>
                  <w:r>
                    <w:rPr>
                      <w:b/>
                    </w:rPr>
                    <w:t xml:space="preserve">Granične vrijednosti hlapivih organskih spojeva </w:t>
                  </w:r>
                </w:p>
                <w:p w:rsidR="00D9472D" w:rsidRDefault="002E5D08">
                  <w:pPr>
                    <w:ind w:left="248" w:hanging="248"/>
                    <w:jc w:val="center"/>
                    <w:rPr>
                      <w:b/>
                      <w:bCs/>
                      <w:szCs w:val="22"/>
                    </w:rPr>
                  </w:pPr>
                  <w:r>
                    <w:rPr>
                      <w:b/>
                    </w:rPr>
                    <w:t>(g/l uključujući</w:t>
                  </w:r>
                </w:p>
                <w:p w:rsidR="00D9472D" w:rsidRDefault="002E5D08">
                  <w:pPr>
                    <w:ind w:left="248" w:hanging="248"/>
                    <w:jc w:val="center"/>
                    <w:rPr>
                      <w:b/>
                      <w:bCs/>
                      <w:szCs w:val="22"/>
                    </w:rPr>
                  </w:pPr>
                  <w:r>
                    <w:rPr>
                      <w:b/>
                    </w:rPr>
                    <w:t>vodu)</w:t>
                  </w:r>
                </w:p>
              </w:tc>
            </w:tr>
            <w:tr w:rsidR="00D9472D">
              <w:trPr>
                <w:jc w:val="center"/>
              </w:trPr>
              <w:tc>
                <w:tcPr>
                  <w:tcW w:w="4568" w:type="dxa"/>
                </w:tcPr>
                <w:p w:rsidR="00D9472D" w:rsidRDefault="002E5D08">
                  <w:pPr>
                    <w:ind w:left="248" w:hanging="248"/>
                    <w:rPr>
                      <w:szCs w:val="22"/>
                    </w:rPr>
                  </w:pPr>
                  <w:r>
                    <w:t xml:space="preserve">a. Mat premazi za unutarnje zidove i stropove (stupanj sjaja </w:t>
                  </w:r>
                  <w:r>
                    <w:br/>
                    <w:t xml:space="preserve">&lt; 25 pri 60 °) </w:t>
                  </w:r>
                </w:p>
              </w:tc>
              <w:tc>
                <w:tcPr>
                  <w:tcW w:w="1529" w:type="dxa"/>
                </w:tcPr>
                <w:p w:rsidR="00D9472D" w:rsidRDefault="002E5D08">
                  <w:pPr>
                    <w:ind w:left="248" w:hanging="248"/>
                    <w:jc w:val="center"/>
                    <w:rPr>
                      <w:szCs w:val="22"/>
                    </w:rPr>
                  </w:pPr>
                  <w:r>
                    <w:t>15</w:t>
                  </w:r>
                </w:p>
              </w:tc>
            </w:tr>
            <w:tr w:rsidR="00D9472D">
              <w:trPr>
                <w:jc w:val="center"/>
              </w:trPr>
              <w:tc>
                <w:tcPr>
                  <w:tcW w:w="4568" w:type="dxa"/>
                </w:tcPr>
                <w:p w:rsidR="00D9472D" w:rsidRDefault="002E5D08">
                  <w:pPr>
                    <w:ind w:left="248" w:hanging="248"/>
                    <w:rPr>
                      <w:szCs w:val="22"/>
                    </w:rPr>
                  </w:pPr>
                  <w:r>
                    <w:t xml:space="preserve">b. Sjajni premazi za unutarnje zidove i stropove (stupanj sjaja &gt; 25 pri 60 °) </w:t>
                  </w:r>
                </w:p>
              </w:tc>
              <w:tc>
                <w:tcPr>
                  <w:tcW w:w="1529" w:type="dxa"/>
                </w:tcPr>
                <w:p w:rsidR="00D9472D" w:rsidRDefault="002E5D08">
                  <w:pPr>
                    <w:ind w:left="248" w:hanging="248"/>
                    <w:jc w:val="center"/>
                    <w:rPr>
                      <w:szCs w:val="22"/>
                    </w:rPr>
                  </w:pPr>
                  <w:r>
                    <w:t>60</w:t>
                  </w:r>
                </w:p>
              </w:tc>
            </w:tr>
            <w:tr w:rsidR="00D9472D">
              <w:trPr>
                <w:jc w:val="center"/>
              </w:trPr>
              <w:tc>
                <w:tcPr>
                  <w:tcW w:w="4568" w:type="dxa"/>
                </w:tcPr>
                <w:p w:rsidR="00D9472D" w:rsidRDefault="002E5D08">
                  <w:pPr>
                    <w:ind w:left="248" w:hanging="248"/>
                    <w:rPr>
                      <w:szCs w:val="22"/>
                    </w:rPr>
                  </w:pPr>
                  <w:r>
                    <w:t xml:space="preserve">c. Premazi za vanjske zidove od mineralnih supstrata </w:t>
                  </w:r>
                </w:p>
              </w:tc>
              <w:tc>
                <w:tcPr>
                  <w:tcW w:w="1529" w:type="dxa"/>
                </w:tcPr>
                <w:p w:rsidR="00D9472D" w:rsidRDefault="002E5D08">
                  <w:pPr>
                    <w:ind w:left="248" w:hanging="248"/>
                    <w:jc w:val="center"/>
                    <w:rPr>
                      <w:szCs w:val="22"/>
                    </w:rPr>
                  </w:pPr>
                  <w:r>
                    <w:t>30</w:t>
                  </w:r>
                </w:p>
              </w:tc>
            </w:tr>
            <w:tr w:rsidR="00D9472D">
              <w:trPr>
                <w:jc w:val="center"/>
              </w:trPr>
              <w:tc>
                <w:tcPr>
                  <w:tcW w:w="4568" w:type="dxa"/>
                </w:tcPr>
                <w:p w:rsidR="00D9472D" w:rsidRDefault="002E5D08">
                  <w:pPr>
                    <w:ind w:left="248" w:hanging="248"/>
                    <w:rPr>
                      <w:szCs w:val="22"/>
                    </w:rPr>
                  </w:pPr>
                  <w:r>
                    <w:t xml:space="preserve">d. Boje za unutarnje/vanjsko ukrašavanje i oblaganje drveta i metala </w:t>
                  </w:r>
                </w:p>
              </w:tc>
              <w:tc>
                <w:tcPr>
                  <w:tcW w:w="1529" w:type="dxa"/>
                </w:tcPr>
                <w:p w:rsidR="00D9472D" w:rsidRDefault="002E5D08">
                  <w:pPr>
                    <w:ind w:left="248" w:hanging="248"/>
                    <w:jc w:val="center"/>
                    <w:rPr>
                      <w:szCs w:val="22"/>
                    </w:rPr>
                  </w:pPr>
                  <w:r>
                    <w:t>90</w:t>
                  </w:r>
                </w:p>
              </w:tc>
            </w:tr>
            <w:tr w:rsidR="00D9472D">
              <w:trPr>
                <w:jc w:val="center"/>
              </w:trPr>
              <w:tc>
                <w:tcPr>
                  <w:tcW w:w="4568" w:type="dxa"/>
                </w:tcPr>
                <w:p w:rsidR="00D9472D" w:rsidRDefault="002E5D08">
                  <w:pPr>
                    <w:ind w:left="248" w:hanging="248"/>
                    <w:rPr>
                      <w:szCs w:val="22"/>
                    </w:rPr>
                  </w:pPr>
                  <w:r>
                    <w:t xml:space="preserve">e. Lakovi i lazurni premazi za drvo za ukrašavanje, uključujući neprozirne lazurne premaze za drvo za unutarnje uređenje </w:t>
                  </w:r>
                </w:p>
              </w:tc>
              <w:tc>
                <w:tcPr>
                  <w:tcW w:w="1529" w:type="dxa"/>
                </w:tcPr>
                <w:p w:rsidR="00D9472D" w:rsidRDefault="002E5D08">
                  <w:pPr>
                    <w:ind w:left="248" w:hanging="248"/>
                    <w:jc w:val="center"/>
                    <w:rPr>
                      <w:szCs w:val="22"/>
                    </w:rPr>
                  </w:pPr>
                  <w:r>
                    <w:t>75</w:t>
                  </w:r>
                </w:p>
              </w:tc>
            </w:tr>
            <w:tr w:rsidR="00D9472D">
              <w:trPr>
                <w:jc w:val="center"/>
              </w:trPr>
              <w:tc>
                <w:tcPr>
                  <w:tcW w:w="4568" w:type="dxa"/>
                </w:tcPr>
                <w:p w:rsidR="00D9472D" w:rsidRDefault="002E5D08">
                  <w:pPr>
                    <w:ind w:left="248" w:hanging="248"/>
                    <w:rPr>
                      <w:szCs w:val="22"/>
                    </w:rPr>
                  </w:pPr>
                  <w:r>
                    <w:t>e. Lakovi i lazurni premazi za drvo za ukrašavanje, uključujući neprozirne lazurne premaze za drvo za vanjsko uređenje</w:t>
                  </w:r>
                </w:p>
              </w:tc>
              <w:tc>
                <w:tcPr>
                  <w:tcW w:w="1529" w:type="dxa"/>
                </w:tcPr>
                <w:p w:rsidR="00D9472D" w:rsidRDefault="002E5D08">
                  <w:pPr>
                    <w:ind w:left="248" w:hanging="248"/>
                    <w:jc w:val="center"/>
                    <w:rPr>
                      <w:szCs w:val="22"/>
                    </w:rPr>
                  </w:pPr>
                  <w:r>
                    <w:t>90</w:t>
                  </w:r>
                </w:p>
              </w:tc>
            </w:tr>
            <w:tr w:rsidR="00D9472D">
              <w:trPr>
                <w:jc w:val="center"/>
              </w:trPr>
              <w:tc>
                <w:tcPr>
                  <w:tcW w:w="4568" w:type="dxa"/>
                </w:tcPr>
                <w:p w:rsidR="00D9472D" w:rsidRDefault="002E5D08">
                  <w:pPr>
                    <w:ind w:left="248" w:hanging="248"/>
                    <w:rPr>
                      <w:szCs w:val="22"/>
                    </w:rPr>
                  </w:pPr>
                  <w:r>
                    <w:t>f. Tank</w:t>
                  </w:r>
                  <w:r>
                    <w:t xml:space="preserve">oslojne lazure za drvo za unutarnje i vanjsko uređenje </w:t>
                  </w:r>
                </w:p>
              </w:tc>
              <w:tc>
                <w:tcPr>
                  <w:tcW w:w="1529" w:type="dxa"/>
                </w:tcPr>
                <w:p w:rsidR="00D9472D" w:rsidRDefault="002E5D08">
                  <w:pPr>
                    <w:ind w:left="248" w:hanging="248"/>
                    <w:jc w:val="center"/>
                    <w:rPr>
                      <w:szCs w:val="22"/>
                    </w:rPr>
                  </w:pPr>
                  <w:r>
                    <w:t>75</w:t>
                  </w:r>
                </w:p>
              </w:tc>
            </w:tr>
            <w:tr w:rsidR="00D9472D">
              <w:trPr>
                <w:jc w:val="center"/>
              </w:trPr>
              <w:tc>
                <w:tcPr>
                  <w:tcW w:w="4568" w:type="dxa"/>
                </w:tcPr>
                <w:p w:rsidR="00D9472D" w:rsidRDefault="002E5D08">
                  <w:pPr>
                    <w:ind w:left="248" w:hanging="248"/>
                    <w:rPr>
                      <w:szCs w:val="22"/>
                    </w:rPr>
                  </w:pPr>
                  <w:r>
                    <w:t xml:space="preserve">g. Temeljni premazi </w:t>
                  </w:r>
                </w:p>
              </w:tc>
              <w:tc>
                <w:tcPr>
                  <w:tcW w:w="1529" w:type="dxa"/>
                </w:tcPr>
                <w:p w:rsidR="00D9472D" w:rsidRDefault="002E5D08">
                  <w:pPr>
                    <w:ind w:left="248" w:hanging="248"/>
                    <w:jc w:val="center"/>
                    <w:rPr>
                      <w:szCs w:val="22"/>
                    </w:rPr>
                  </w:pPr>
                  <w:r>
                    <w:t>15</w:t>
                  </w:r>
                </w:p>
              </w:tc>
            </w:tr>
            <w:tr w:rsidR="00D9472D">
              <w:trPr>
                <w:jc w:val="center"/>
              </w:trPr>
              <w:tc>
                <w:tcPr>
                  <w:tcW w:w="4568" w:type="dxa"/>
                </w:tcPr>
                <w:p w:rsidR="00D9472D" w:rsidRDefault="002E5D08">
                  <w:pPr>
                    <w:ind w:left="248" w:hanging="248"/>
                    <w:rPr>
                      <w:szCs w:val="22"/>
                    </w:rPr>
                  </w:pPr>
                  <w:r>
                    <w:t xml:space="preserve">h. Vezujući temeljni premazi </w:t>
                  </w:r>
                </w:p>
              </w:tc>
              <w:tc>
                <w:tcPr>
                  <w:tcW w:w="1529" w:type="dxa"/>
                </w:tcPr>
                <w:p w:rsidR="00D9472D" w:rsidRDefault="002E5D08">
                  <w:pPr>
                    <w:ind w:left="248" w:hanging="248"/>
                    <w:jc w:val="center"/>
                    <w:rPr>
                      <w:szCs w:val="22"/>
                    </w:rPr>
                  </w:pPr>
                  <w:r>
                    <w:t>15</w:t>
                  </w:r>
                </w:p>
              </w:tc>
            </w:tr>
            <w:tr w:rsidR="00D9472D">
              <w:trPr>
                <w:jc w:val="center"/>
              </w:trPr>
              <w:tc>
                <w:tcPr>
                  <w:tcW w:w="4568" w:type="dxa"/>
                </w:tcPr>
                <w:p w:rsidR="00D9472D" w:rsidRDefault="002E5D08">
                  <w:pPr>
                    <w:ind w:left="248" w:hanging="248"/>
                    <w:rPr>
                      <w:szCs w:val="22"/>
                    </w:rPr>
                  </w:pPr>
                  <w:r>
                    <w:t xml:space="preserve">i. Jednokomponentni funkcionalni premazi </w:t>
                  </w:r>
                </w:p>
              </w:tc>
              <w:tc>
                <w:tcPr>
                  <w:tcW w:w="1529" w:type="dxa"/>
                </w:tcPr>
                <w:p w:rsidR="00D9472D" w:rsidRDefault="002E5D08">
                  <w:pPr>
                    <w:ind w:left="248" w:hanging="248"/>
                    <w:jc w:val="center"/>
                    <w:rPr>
                      <w:szCs w:val="22"/>
                    </w:rPr>
                  </w:pPr>
                  <w:r>
                    <w:t>100</w:t>
                  </w:r>
                </w:p>
              </w:tc>
            </w:tr>
            <w:tr w:rsidR="00D9472D">
              <w:trPr>
                <w:jc w:val="center"/>
              </w:trPr>
              <w:tc>
                <w:tcPr>
                  <w:tcW w:w="4568" w:type="dxa"/>
                </w:tcPr>
                <w:p w:rsidR="00D9472D" w:rsidRDefault="002E5D08">
                  <w:pPr>
                    <w:ind w:left="248" w:hanging="248"/>
                    <w:rPr>
                      <w:szCs w:val="22"/>
                    </w:rPr>
                  </w:pPr>
                  <w:r>
                    <w:t xml:space="preserve">j. Dvokomponentni funkcionalni premazi s reaktivnim djelovanjem za posebnu konačnu primjenu, npr. za podove </w:t>
                  </w:r>
                </w:p>
              </w:tc>
              <w:tc>
                <w:tcPr>
                  <w:tcW w:w="1529" w:type="dxa"/>
                </w:tcPr>
                <w:p w:rsidR="00D9472D" w:rsidRDefault="002E5D08">
                  <w:pPr>
                    <w:ind w:left="248" w:hanging="248"/>
                    <w:jc w:val="center"/>
                    <w:rPr>
                      <w:szCs w:val="22"/>
                    </w:rPr>
                  </w:pPr>
                  <w:r>
                    <w:t>100</w:t>
                  </w:r>
                </w:p>
              </w:tc>
            </w:tr>
            <w:tr w:rsidR="00D9472D">
              <w:trPr>
                <w:jc w:val="center"/>
              </w:trPr>
              <w:tc>
                <w:tcPr>
                  <w:tcW w:w="4568" w:type="dxa"/>
                </w:tcPr>
                <w:p w:rsidR="00D9472D" w:rsidRDefault="002E5D08">
                  <w:pPr>
                    <w:ind w:left="248" w:hanging="248"/>
                    <w:rPr>
                      <w:szCs w:val="22"/>
                    </w:rPr>
                  </w:pPr>
                  <w:r>
                    <w:t xml:space="preserve">Premazi s ukrasnim učinkom </w:t>
                  </w:r>
                </w:p>
              </w:tc>
              <w:tc>
                <w:tcPr>
                  <w:tcW w:w="1529" w:type="dxa"/>
                </w:tcPr>
                <w:p w:rsidR="00D9472D" w:rsidRDefault="002E5D08">
                  <w:pPr>
                    <w:ind w:left="248" w:hanging="248"/>
                    <w:jc w:val="center"/>
                    <w:rPr>
                      <w:szCs w:val="22"/>
                    </w:rPr>
                  </w:pPr>
                  <w:r>
                    <w:t>90</w:t>
                  </w:r>
                </w:p>
              </w:tc>
            </w:tr>
            <w:tr w:rsidR="00D9472D">
              <w:trPr>
                <w:jc w:val="center"/>
              </w:trPr>
              <w:tc>
                <w:tcPr>
                  <w:tcW w:w="4568" w:type="dxa"/>
                </w:tcPr>
                <w:p w:rsidR="00D9472D" w:rsidRDefault="002E5D08">
                  <w:pPr>
                    <w:ind w:left="248" w:hanging="248"/>
                    <w:rPr>
                      <w:szCs w:val="22"/>
                    </w:rPr>
                  </w:pPr>
                  <w:r>
                    <w:t>Antikorozivne boje</w:t>
                  </w:r>
                </w:p>
              </w:tc>
              <w:tc>
                <w:tcPr>
                  <w:tcW w:w="1529" w:type="dxa"/>
                </w:tcPr>
                <w:p w:rsidR="00D9472D" w:rsidRDefault="002E5D08">
                  <w:pPr>
                    <w:ind w:left="248" w:hanging="248"/>
                    <w:jc w:val="center"/>
                    <w:rPr>
                      <w:szCs w:val="22"/>
                    </w:rPr>
                  </w:pPr>
                  <w:r>
                    <w:t>80</w:t>
                  </w:r>
                </w:p>
              </w:tc>
            </w:tr>
          </w:tbl>
          <w:p w:rsidR="00D9472D" w:rsidRDefault="00D9472D">
            <w:pPr>
              <w:rPr>
                <w:b/>
                <w:bCs/>
                <w:szCs w:val="22"/>
              </w:rPr>
            </w:pPr>
          </w:p>
          <w:p w:rsidR="00D9472D" w:rsidRDefault="002E5D08">
            <w:pPr>
              <w:rPr>
                <w:bCs/>
                <w:szCs w:val="22"/>
              </w:rPr>
            </w:pPr>
            <w:r>
              <w:rPr>
                <w:b/>
              </w:rPr>
              <w:t>Provjera</w:t>
            </w:r>
            <w:r>
              <w:t>:</w:t>
            </w:r>
          </w:p>
          <w:p w:rsidR="00D9472D" w:rsidRDefault="002E5D08">
            <w:pPr>
              <w:rPr>
                <w:noProof/>
                <w:szCs w:val="22"/>
              </w:rPr>
            </w:pPr>
            <w:r>
              <w:t>Ponuditelj dostavlja ili:</w:t>
            </w:r>
          </w:p>
          <w:p w:rsidR="00D9472D" w:rsidRDefault="002E5D08">
            <w:pPr>
              <w:ind w:left="267"/>
              <w:rPr>
                <w:noProof/>
                <w:szCs w:val="22"/>
              </w:rPr>
            </w:pPr>
            <w:r>
              <w:t xml:space="preserve">a) izračun udjela hlapivih organskih spojeva </w:t>
            </w:r>
            <w:r>
              <w:t>potkrijepljen, ako je moguće, sigurnosno-tehničkim listovima ili</w:t>
            </w:r>
          </w:p>
          <w:p w:rsidR="00D9472D" w:rsidRDefault="002E5D08">
            <w:pPr>
              <w:ind w:left="267"/>
              <w:rPr>
                <w:noProof/>
                <w:szCs w:val="22"/>
              </w:rPr>
            </w:pPr>
            <w:r>
              <w:t>b) izvješće o ispitivanju koje je provedeno u skladu s normom ISO 11890-2. Proizvodi s udjelom hlapivih organskih spojeva manjim od 1,0 g/l ispituju se u skladu s normom ISO 17895.</w:t>
            </w:r>
          </w:p>
          <w:p w:rsidR="00D9472D" w:rsidRDefault="002E5D08">
            <w:pPr>
              <w:rPr>
                <w:noProof/>
                <w:szCs w:val="22"/>
              </w:rPr>
            </w:pPr>
            <w:r>
              <w:t xml:space="preserve">Proizvodi </w:t>
            </w:r>
            <w:r>
              <w:t>kojima je dodijeljen znak za okoliš EU-a za boje i lakove, kako je utvrđeno Odlukom Komisije (EU) 2014/312/EU, smatraju se usklađenima.</w:t>
            </w:r>
          </w:p>
          <w:p w:rsidR="00D9472D" w:rsidRDefault="00D9472D">
            <w:pPr>
              <w:rPr>
                <w:szCs w:val="22"/>
              </w:rPr>
            </w:pPr>
          </w:p>
        </w:tc>
        <w:tc>
          <w:tcPr>
            <w:tcW w:w="2506" w:type="pct"/>
            <w:shd w:val="clear" w:color="auto" w:fill="auto"/>
          </w:tcPr>
          <w:p w:rsidR="00D9472D" w:rsidRDefault="002E5D08">
            <w:pPr>
              <w:rPr>
                <w:b/>
                <w:szCs w:val="22"/>
              </w:rPr>
            </w:pPr>
            <w:r>
              <w:rPr>
                <w:b/>
              </w:rPr>
              <w:t xml:space="preserve">1.2. Udio hlapivih organskih spojeva </w:t>
            </w:r>
          </w:p>
          <w:p w:rsidR="00D9472D" w:rsidRDefault="00D9472D">
            <w:pPr>
              <w:rPr>
                <w:szCs w:val="22"/>
              </w:rPr>
            </w:pPr>
          </w:p>
          <w:p w:rsidR="00D9472D" w:rsidRDefault="002E5D08">
            <w:pPr>
              <w:rPr>
                <w:noProof/>
                <w:szCs w:val="22"/>
              </w:rPr>
            </w:pPr>
            <w:r>
              <w:t>Najveći udio hlapivih organskih spojeva (HOS-ova) ne smije prelaziti granične vr</w:t>
            </w:r>
            <w:r>
              <w:t>ijednosti navedene u tablici 2.</w:t>
            </w:r>
          </w:p>
          <w:p w:rsidR="00D9472D" w:rsidRDefault="002E5D08">
            <w:pPr>
              <w:rPr>
                <w:noProof/>
                <w:szCs w:val="22"/>
              </w:rPr>
            </w:pPr>
            <w:r>
              <w:t>Udio hlapivih organskih spojeva određuje se za gotove proizvode spremne za uporabu i uključuje sve preporučene dodatke prije nanošenja, kao što su koloranti i/ili razrjeđivači.</w:t>
            </w:r>
          </w:p>
          <w:p w:rsidR="00D9472D" w:rsidRDefault="00D9472D">
            <w:pPr>
              <w:rPr>
                <w:b/>
                <w:bCs/>
                <w:szCs w:val="22"/>
              </w:rPr>
            </w:pPr>
          </w:p>
          <w:p w:rsidR="00D9472D" w:rsidRDefault="002E5D08">
            <w:pPr>
              <w:pStyle w:val="StyleStyleCaption11ptItalicItalic"/>
            </w:pPr>
            <w:r>
              <w:t>Tablica </w:t>
            </w:r>
            <w:r>
              <w:fldChar w:fldCharType="begin"/>
            </w:r>
            <w:r>
              <w:instrText xml:space="preserve"> SEQ Table \* ARABIC </w:instrText>
            </w:r>
            <w:r>
              <w:fldChar w:fldCharType="separate"/>
            </w:r>
            <w:r>
              <w:rPr>
                <w:noProof/>
              </w:rPr>
              <w:t>2</w:t>
            </w:r>
            <w:r>
              <w:rPr>
                <w:noProof/>
              </w:rPr>
              <w:fldChar w:fldCharType="end"/>
            </w:r>
            <w:r>
              <w:t>. Granične vr</w:t>
            </w:r>
            <w:r>
              <w:t>ijednosti udjela hlapivih organskih spojeva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8"/>
              <w:gridCol w:w="1529"/>
            </w:tblGrid>
            <w:tr w:rsidR="00D9472D">
              <w:trPr>
                <w:jc w:val="center"/>
              </w:trPr>
              <w:tc>
                <w:tcPr>
                  <w:tcW w:w="4568" w:type="dxa"/>
                </w:tcPr>
                <w:p w:rsidR="00D9472D" w:rsidRDefault="002E5D08">
                  <w:pPr>
                    <w:rPr>
                      <w:b/>
                      <w:bCs/>
                      <w:szCs w:val="22"/>
                    </w:rPr>
                  </w:pPr>
                  <w:r>
                    <w:rPr>
                      <w:b/>
                    </w:rPr>
                    <w:t xml:space="preserve">Opis proizvoda </w:t>
                  </w:r>
                  <w:r>
                    <w:rPr>
                      <w:color w:val="000000"/>
                    </w:rPr>
                    <w:t>(uz označivanje potkategorije u skladu s Direktivom 2004/42/EZ)</w:t>
                  </w:r>
                </w:p>
              </w:tc>
              <w:tc>
                <w:tcPr>
                  <w:tcW w:w="1529" w:type="dxa"/>
                </w:tcPr>
                <w:p w:rsidR="00D9472D" w:rsidRDefault="002E5D08">
                  <w:pPr>
                    <w:ind w:left="249" w:hanging="249"/>
                    <w:jc w:val="center"/>
                    <w:rPr>
                      <w:b/>
                      <w:bCs/>
                      <w:szCs w:val="22"/>
                    </w:rPr>
                  </w:pPr>
                  <w:r>
                    <w:rPr>
                      <w:b/>
                    </w:rPr>
                    <w:t xml:space="preserve">Granične vrijednosti hlapivih organskih spojeva </w:t>
                  </w:r>
                </w:p>
                <w:p w:rsidR="00D9472D" w:rsidRDefault="002E5D08">
                  <w:pPr>
                    <w:ind w:left="249" w:hanging="249"/>
                    <w:jc w:val="center"/>
                    <w:rPr>
                      <w:b/>
                      <w:bCs/>
                      <w:szCs w:val="22"/>
                    </w:rPr>
                  </w:pPr>
                  <w:r>
                    <w:rPr>
                      <w:b/>
                    </w:rPr>
                    <w:t>(g/l uključujući</w:t>
                  </w:r>
                </w:p>
                <w:p w:rsidR="00D9472D" w:rsidRDefault="002E5D08">
                  <w:pPr>
                    <w:ind w:left="249" w:hanging="249"/>
                    <w:jc w:val="center"/>
                    <w:rPr>
                      <w:b/>
                      <w:bCs/>
                      <w:szCs w:val="22"/>
                    </w:rPr>
                  </w:pPr>
                  <w:r>
                    <w:rPr>
                      <w:b/>
                    </w:rPr>
                    <w:t>vodu)</w:t>
                  </w:r>
                </w:p>
              </w:tc>
            </w:tr>
            <w:tr w:rsidR="00D9472D">
              <w:trPr>
                <w:jc w:val="center"/>
              </w:trPr>
              <w:tc>
                <w:tcPr>
                  <w:tcW w:w="4568" w:type="dxa"/>
                </w:tcPr>
                <w:p w:rsidR="00D9472D" w:rsidRDefault="002E5D08">
                  <w:pPr>
                    <w:ind w:left="249" w:hanging="249"/>
                    <w:rPr>
                      <w:szCs w:val="22"/>
                    </w:rPr>
                  </w:pPr>
                  <w:r>
                    <w:t xml:space="preserve">a. Mat premazi za unutarnje zidove i stropove (stupanj sjaja &lt; 25 pri 60 °) </w:t>
                  </w:r>
                </w:p>
              </w:tc>
              <w:tc>
                <w:tcPr>
                  <w:tcW w:w="1529" w:type="dxa"/>
                </w:tcPr>
                <w:p w:rsidR="00D9472D" w:rsidRDefault="002E5D08">
                  <w:pPr>
                    <w:ind w:left="249" w:hanging="249"/>
                    <w:jc w:val="center"/>
                    <w:rPr>
                      <w:szCs w:val="22"/>
                    </w:rPr>
                  </w:pPr>
                  <w:r>
                    <w:t>10</w:t>
                  </w:r>
                </w:p>
              </w:tc>
            </w:tr>
            <w:tr w:rsidR="00D9472D">
              <w:trPr>
                <w:jc w:val="center"/>
              </w:trPr>
              <w:tc>
                <w:tcPr>
                  <w:tcW w:w="4568" w:type="dxa"/>
                </w:tcPr>
                <w:p w:rsidR="00D9472D" w:rsidRDefault="002E5D08">
                  <w:pPr>
                    <w:ind w:left="249" w:hanging="249"/>
                    <w:rPr>
                      <w:szCs w:val="22"/>
                    </w:rPr>
                  </w:pPr>
                  <w:r>
                    <w:t xml:space="preserve">b. Sjajni premazi za unutarnje zidove i stropove (stupanj sjaja &gt; 25 pri 60 °) </w:t>
                  </w:r>
                </w:p>
              </w:tc>
              <w:tc>
                <w:tcPr>
                  <w:tcW w:w="1529" w:type="dxa"/>
                </w:tcPr>
                <w:p w:rsidR="00D9472D" w:rsidRDefault="002E5D08">
                  <w:pPr>
                    <w:ind w:left="249" w:hanging="249"/>
                    <w:jc w:val="center"/>
                    <w:rPr>
                      <w:szCs w:val="22"/>
                    </w:rPr>
                  </w:pPr>
                  <w:r>
                    <w:t>40</w:t>
                  </w:r>
                </w:p>
              </w:tc>
            </w:tr>
            <w:tr w:rsidR="00D9472D">
              <w:trPr>
                <w:jc w:val="center"/>
              </w:trPr>
              <w:tc>
                <w:tcPr>
                  <w:tcW w:w="4568" w:type="dxa"/>
                </w:tcPr>
                <w:p w:rsidR="00D9472D" w:rsidRDefault="002E5D08">
                  <w:pPr>
                    <w:ind w:left="249" w:hanging="249"/>
                    <w:rPr>
                      <w:szCs w:val="22"/>
                    </w:rPr>
                  </w:pPr>
                  <w:r>
                    <w:t xml:space="preserve">c. Premazi za vanjske zidove od mineralnih supstrata </w:t>
                  </w:r>
                </w:p>
              </w:tc>
              <w:tc>
                <w:tcPr>
                  <w:tcW w:w="1529" w:type="dxa"/>
                </w:tcPr>
                <w:p w:rsidR="00D9472D" w:rsidRDefault="002E5D08">
                  <w:pPr>
                    <w:ind w:left="249" w:hanging="249"/>
                    <w:jc w:val="center"/>
                    <w:rPr>
                      <w:szCs w:val="22"/>
                    </w:rPr>
                  </w:pPr>
                  <w:r>
                    <w:t>25</w:t>
                  </w:r>
                </w:p>
              </w:tc>
            </w:tr>
            <w:tr w:rsidR="00D9472D">
              <w:trPr>
                <w:jc w:val="center"/>
              </w:trPr>
              <w:tc>
                <w:tcPr>
                  <w:tcW w:w="4568" w:type="dxa"/>
                </w:tcPr>
                <w:p w:rsidR="00D9472D" w:rsidRDefault="002E5D08">
                  <w:pPr>
                    <w:ind w:left="249" w:hanging="249"/>
                    <w:rPr>
                      <w:szCs w:val="22"/>
                    </w:rPr>
                  </w:pPr>
                  <w:r>
                    <w:t xml:space="preserve">d. Boje za unutarnje/vanjsko ukrašavanje i oblaganje drveta i metala </w:t>
                  </w:r>
                </w:p>
              </w:tc>
              <w:tc>
                <w:tcPr>
                  <w:tcW w:w="1529" w:type="dxa"/>
                </w:tcPr>
                <w:p w:rsidR="00D9472D" w:rsidRDefault="002E5D08">
                  <w:pPr>
                    <w:ind w:left="249" w:hanging="249"/>
                    <w:jc w:val="center"/>
                    <w:rPr>
                      <w:szCs w:val="22"/>
                    </w:rPr>
                  </w:pPr>
                  <w:r>
                    <w:t>80</w:t>
                  </w:r>
                </w:p>
              </w:tc>
            </w:tr>
            <w:tr w:rsidR="00D9472D">
              <w:trPr>
                <w:jc w:val="center"/>
              </w:trPr>
              <w:tc>
                <w:tcPr>
                  <w:tcW w:w="4568" w:type="dxa"/>
                </w:tcPr>
                <w:p w:rsidR="00D9472D" w:rsidRDefault="002E5D08">
                  <w:pPr>
                    <w:ind w:left="249" w:hanging="249"/>
                    <w:rPr>
                      <w:szCs w:val="22"/>
                    </w:rPr>
                  </w:pPr>
                  <w:r>
                    <w:t xml:space="preserve">e. Lakovi i lazurni premazi za drvo za ukrašavanje, uključujući neprozirne lazurne premaze za drvo za unutarnje uređenje </w:t>
                  </w:r>
                </w:p>
              </w:tc>
              <w:tc>
                <w:tcPr>
                  <w:tcW w:w="1529" w:type="dxa"/>
                </w:tcPr>
                <w:p w:rsidR="00D9472D" w:rsidRDefault="002E5D08">
                  <w:pPr>
                    <w:ind w:left="249" w:hanging="249"/>
                    <w:jc w:val="center"/>
                    <w:rPr>
                      <w:szCs w:val="22"/>
                    </w:rPr>
                  </w:pPr>
                  <w:r>
                    <w:t>65</w:t>
                  </w:r>
                </w:p>
              </w:tc>
            </w:tr>
            <w:tr w:rsidR="00D9472D">
              <w:trPr>
                <w:jc w:val="center"/>
              </w:trPr>
              <w:tc>
                <w:tcPr>
                  <w:tcW w:w="4568" w:type="dxa"/>
                </w:tcPr>
                <w:p w:rsidR="00D9472D" w:rsidRDefault="002E5D08">
                  <w:pPr>
                    <w:ind w:left="249" w:hanging="249"/>
                    <w:rPr>
                      <w:szCs w:val="22"/>
                    </w:rPr>
                  </w:pPr>
                  <w:r>
                    <w:t>e. Lakovi i lazurni premazi za drvo za ukrašavanje, uklj</w:t>
                  </w:r>
                  <w:r>
                    <w:t>učujući neprozirne lazurne premaze za drvo za vanjsko uređenje</w:t>
                  </w:r>
                </w:p>
              </w:tc>
              <w:tc>
                <w:tcPr>
                  <w:tcW w:w="1529" w:type="dxa"/>
                </w:tcPr>
                <w:p w:rsidR="00D9472D" w:rsidRDefault="002E5D08">
                  <w:pPr>
                    <w:ind w:left="249" w:hanging="249"/>
                    <w:jc w:val="center"/>
                    <w:rPr>
                      <w:szCs w:val="22"/>
                    </w:rPr>
                  </w:pPr>
                  <w:r>
                    <w:t>75</w:t>
                  </w:r>
                </w:p>
              </w:tc>
            </w:tr>
            <w:tr w:rsidR="00D9472D">
              <w:trPr>
                <w:jc w:val="center"/>
              </w:trPr>
              <w:tc>
                <w:tcPr>
                  <w:tcW w:w="4568" w:type="dxa"/>
                </w:tcPr>
                <w:p w:rsidR="00D9472D" w:rsidRDefault="002E5D08">
                  <w:pPr>
                    <w:ind w:left="249" w:hanging="249"/>
                    <w:rPr>
                      <w:szCs w:val="22"/>
                    </w:rPr>
                  </w:pPr>
                  <w:r>
                    <w:t xml:space="preserve">f. Tankoslojne lazure za drvo za unutarnje i vanjsko uređenje </w:t>
                  </w:r>
                </w:p>
              </w:tc>
              <w:tc>
                <w:tcPr>
                  <w:tcW w:w="1529" w:type="dxa"/>
                </w:tcPr>
                <w:p w:rsidR="00D9472D" w:rsidRDefault="002E5D08">
                  <w:pPr>
                    <w:ind w:left="249" w:hanging="249"/>
                    <w:jc w:val="center"/>
                    <w:rPr>
                      <w:szCs w:val="22"/>
                    </w:rPr>
                  </w:pPr>
                  <w:r>
                    <w:t>50</w:t>
                  </w:r>
                </w:p>
              </w:tc>
            </w:tr>
            <w:tr w:rsidR="00D9472D">
              <w:trPr>
                <w:jc w:val="center"/>
              </w:trPr>
              <w:tc>
                <w:tcPr>
                  <w:tcW w:w="4568" w:type="dxa"/>
                </w:tcPr>
                <w:p w:rsidR="00D9472D" w:rsidRDefault="002E5D08">
                  <w:pPr>
                    <w:ind w:left="249" w:hanging="249"/>
                    <w:rPr>
                      <w:szCs w:val="22"/>
                    </w:rPr>
                  </w:pPr>
                  <w:r>
                    <w:t xml:space="preserve">g. Temeljni premazi </w:t>
                  </w:r>
                </w:p>
              </w:tc>
              <w:tc>
                <w:tcPr>
                  <w:tcW w:w="1529" w:type="dxa"/>
                </w:tcPr>
                <w:p w:rsidR="00D9472D" w:rsidRDefault="002E5D08">
                  <w:pPr>
                    <w:ind w:left="249" w:hanging="249"/>
                    <w:jc w:val="center"/>
                    <w:rPr>
                      <w:szCs w:val="22"/>
                    </w:rPr>
                  </w:pPr>
                  <w:r>
                    <w:t>15</w:t>
                  </w:r>
                </w:p>
              </w:tc>
            </w:tr>
            <w:tr w:rsidR="00D9472D">
              <w:trPr>
                <w:jc w:val="center"/>
              </w:trPr>
              <w:tc>
                <w:tcPr>
                  <w:tcW w:w="4568" w:type="dxa"/>
                </w:tcPr>
                <w:p w:rsidR="00D9472D" w:rsidRDefault="002E5D08">
                  <w:pPr>
                    <w:ind w:left="249" w:hanging="249"/>
                    <w:rPr>
                      <w:szCs w:val="22"/>
                    </w:rPr>
                  </w:pPr>
                  <w:r>
                    <w:t xml:space="preserve">h. Vezujući temeljni premazi </w:t>
                  </w:r>
                </w:p>
              </w:tc>
              <w:tc>
                <w:tcPr>
                  <w:tcW w:w="1529" w:type="dxa"/>
                </w:tcPr>
                <w:p w:rsidR="00D9472D" w:rsidRDefault="002E5D08">
                  <w:pPr>
                    <w:ind w:left="249" w:hanging="249"/>
                    <w:jc w:val="center"/>
                    <w:rPr>
                      <w:szCs w:val="22"/>
                    </w:rPr>
                  </w:pPr>
                  <w:r>
                    <w:t>15</w:t>
                  </w:r>
                </w:p>
              </w:tc>
            </w:tr>
            <w:tr w:rsidR="00D9472D">
              <w:trPr>
                <w:jc w:val="center"/>
              </w:trPr>
              <w:tc>
                <w:tcPr>
                  <w:tcW w:w="4568" w:type="dxa"/>
                </w:tcPr>
                <w:p w:rsidR="00D9472D" w:rsidRDefault="002E5D08">
                  <w:pPr>
                    <w:ind w:left="249" w:hanging="249"/>
                    <w:rPr>
                      <w:szCs w:val="22"/>
                    </w:rPr>
                  </w:pPr>
                  <w:r>
                    <w:t xml:space="preserve">i. Jednokomponentni funkcionalni premazi </w:t>
                  </w:r>
                </w:p>
              </w:tc>
              <w:tc>
                <w:tcPr>
                  <w:tcW w:w="1529" w:type="dxa"/>
                </w:tcPr>
                <w:p w:rsidR="00D9472D" w:rsidRDefault="002E5D08">
                  <w:pPr>
                    <w:ind w:left="249" w:hanging="249"/>
                    <w:jc w:val="center"/>
                    <w:rPr>
                      <w:szCs w:val="22"/>
                    </w:rPr>
                  </w:pPr>
                  <w:r>
                    <w:t>80</w:t>
                  </w:r>
                </w:p>
              </w:tc>
            </w:tr>
            <w:tr w:rsidR="00D9472D">
              <w:trPr>
                <w:jc w:val="center"/>
              </w:trPr>
              <w:tc>
                <w:tcPr>
                  <w:tcW w:w="4568" w:type="dxa"/>
                </w:tcPr>
                <w:p w:rsidR="00D9472D" w:rsidRDefault="002E5D08">
                  <w:pPr>
                    <w:ind w:left="249" w:hanging="249"/>
                    <w:rPr>
                      <w:szCs w:val="22"/>
                    </w:rPr>
                  </w:pPr>
                  <w:r>
                    <w:t xml:space="preserve">j. Dvokomponentni funkcionalni premazi s reaktivnim djelovanjem za posebnu konačnu primjenu, npr. za podove </w:t>
                  </w:r>
                </w:p>
              </w:tc>
              <w:tc>
                <w:tcPr>
                  <w:tcW w:w="1529" w:type="dxa"/>
                </w:tcPr>
                <w:p w:rsidR="00D9472D" w:rsidRDefault="002E5D08">
                  <w:pPr>
                    <w:ind w:left="249" w:hanging="249"/>
                    <w:jc w:val="center"/>
                    <w:rPr>
                      <w:szCs w:val="22"/>
                    </w:rPr>
                  </w:pPr>
                  <w:r>
                    <w:t>80</w:t>
                  </w:r>
                </w:p>
              </w:tc>
            </w:tr>
            <w:tr w:rsidR="00D9472D">
              <w:trPr>
                <w:jc w:val="center"/>
              </w:trPr>
              <w:tc>
                <w:tcPr>
                  <w:tcW w:w="4568" w:type="dxa"/>
                </w:tcPr>
                <w:p w:rsidR="00D9472D" w:rsidRDefault="002E5D08">
                  <w:pPr>
                    <w:ind w:left="850" w:hanging="850"/>
                    <w:rPr>
                      <w:szCs w:val="22"/>
                    </w:rPr>
                  </w:pPr>
                  <w:r>
                    <w:t xml:space="preserve">Premazi s ukrasnim učinkom </w:t>
                  </w:r>
                </w:p>
              </w:tc>
              <w:tc>
                <w:tcPr>
                  <w:tcW w:w="1529" w:type="dxa"/>
                </w:tcPr>
                <w:p w:rsidR="00D9472D" w:rsidRDefault="002E5D08">
                  <w:pPr>
                    <w:ind w:left="850" w:hanging="850"/>
                    <w:jc w:val="center"/>
                    <w:rPr>
                      <w:szCs w:val="22"/>
                    </w:rPr>
                  </w:pPr>
                  <w:r>
                    <w:t>80</w:t>
                  </w:r>
                </w:p>
              </w:tc>
            </w:tr>
            <w:tr w:rsidR="00D9472D">
              <w:trPr>
                <w:jc w:val="center"/>
              </w:trPr>
              <w:tc>
                <w:tcPr>
                  <w:tcW w:w="4568" w:type="dxa"/>
                </w:tcPr>
                <w:p w:rsidR="00D9472D" w:rsidRDefault="002E5D08">
                  <w:pPr>
                    <w:ind w:left="850" w:hanging="850"/>
                    <w:rPr>
                      <w:szCs w:val="22"/>
                    </w:rPr>
                  </w:pPr>
                  <w:r>
                    <w:t>Antikorozivne boje</w:t>
                  </w:r>
                </w:p>
              </w:tc>
              <w:tc>
                <w:tcPr>
                  <w:tcW w:w="1529" w:type="dxa"/>
                </w:tcPr>
                <w:p w:rsidR="00D9472D" w:rsidRDefault="002E5D08">
                  <w:pPr>
                    <w:ind w:left="850" w:hanging="850"/>
                    <w:jc w:val="center"/>
                    <w:rPr>
                      <w:szCs w:val="22"/>
                    </w:rPr>
                  </w:pPr>
                  <w:r>
                    <w:t>80</w:t>
                  </w:r>
                </w:p>
              </w:tc>
            </w:tr>
          </w:tbl>
          <w:p w:rsidR="00D9472D" w:rsidRDefault="00D9472D">
            <w:pPr>
              <w:rPr>
                <w:b/>
                <w:bCs/>
                <w:szCs w:val="22"/>
              </w:rPr>
            </w:pPr>
          </w:p>
          <w:p w:rsidR="00D9472D" w:rsidRDefault="002E5D08">
            <w:pPr>
              <w:rPr>
                <w:bCs/>
                <w:szCs w:val="22"/>
              </w:rPr>
            </w:pPr>
            <w:r>
              <w:rPr>
                <w:b/>
              </w:rPr>
              <w:t>Provjera</w:t>
            </w:r>
            <w:r>
              <w:t>:</w:t>
            </w:r>
          </w:p>
          <w:p w:rsidR="00D9472D" w:rsidRDefault="002E5D08">
            <w:pPr>
              <w:rPr>
                <w:noProof/>
                <w:szCs w:val="22"/>
              </w:rPr>
            </w:pPr>
            <w:r>
              <w:t>Ponuditelj dostavlja ili:</w:t>
            </w:r>
          </w:p>
          <w:p w:rsidR="00D9472D" w:rsidRDefault="002E5D08">
            <w:pPr>
              <w:ind w:left="267"/>
              <w:rPr>
                <w:noProof/>
                <w:szCs w:val="22"/>
              </w:rPr>
            </w:pPr>
            <w:r>
              <w:t xml:space="preserve">a) izračun udjela hlapivih organskih spojeva </w:t>
            </w:r>
            <w:r>
              <w:t>potkrijepljen, ako je moguće, sigurnosno-tehničkim listovima ili</w:t>
            </w:r>
          </w:p>
          <w:p w:rsidR="00D9472D" w:rsidRDefault="002E5D08">
            <w:pPr>
              <w:ind w:left="267"/>
              <w:rPr>
                <w:noProof/>
                <w:szCs w:val="22"/>
              </w:rPr>
            </w:pPr>
            <w:r>
              <w:t>b) izvješće o ispitivanju koje je provedeno u skladu s normom ISO 11890-2. Proizvodi s udjelom hlapivih organskih spojeva manjim od 1,0 g/l ispituju se u skladu s normom ISO 17895.</w:t>
            </w:r>
          </w:p>
          <w:p w:rsidR="00D9472D" w:rsidRDefault="002E5D08">
            <w:pPr>
              <w:rPr>
                <w:noProof/>
                <w:szCs w:val="22"/>
              </w:rPr>
            </w:pPr>
            <w:r>
              <w:t xml:space="preserve">Proizvodi </w:t>
            </w:r>
            <w:r>
              <w:t>kojima je dodijeljen znak za okoliš EU-a za boje i lakove, kako je utvrđeno Odlukom Komisije (EU) 2014/312/EU, smatraju se usklađenima.</w:t>
            </w:r>
          </w:p>
          <w:p w:rsidR="00D9472D" w:rsidRDefault="00D9472D">
            <w:pPr>
              <w:rPr>
                <w:szCs w:val="22"/>
              </w:rPr>
            </w:pPr>
          </w:p>
        </w:tc>
      </w:tr>
      <w:tr w:rsidR="00D9472D">
        <w:tc>
          <w:tcPr>
            <w:tcW w:w="2494" w:type="pct"/>
            <w:shd w:val="clear" w:color="auto" w:fill="auto"/>
          </w:tcPr>
          <w:p w:rsidR="00D9472D" w:rsidRDefault="002E5D08">
            <w:pPr>
              <w:tabs>
                <w:tab w:val="left" w:pos="1951"/>
                <w:tab w:val="left" w:pos="4502"/>
              </w:tabs>
              <w:rPr>
                <w:b/>
                <w:szCs w:val="22"/>
              </w:rPr>
            </w:pPr>
            <w:r>
              <w:rPr>
                <w:b/>
              </w:rPr>
              <w:t>1.3. Označivanje proizvoda s obzirom na opasnost</w:t>
            </w:r>
          </w:p>
          <w:p w:rsidR="00D9472D" w:rsidRDefault="00D9472D">
            <w:pPr>
              <w:tabs>
                <w:tab w:val="left" w:pos="1951"/>
                <w:tab w:val="left" w:pos="4502"/>
              </w:tabs>
              <w:rPr>
                <w:b/>
                <w:szCs w:val="22"/>
              </w:rPr>
            </w:pPr>
          </w:p>
          <w:p w:rsidR="00D9472D" w:rsidRDefault="002E5D08">
            <w:pPr>
              <w:rPr>
                <w:szCs w:val="22"/>
              </w:rPr>
            </w:pPr>
            <w:r>
              <w:t xml:space="preserve">Konačni proizvod ne smije biti razvrstan kao akutno toksičan, </w:t>
            </w:r>
            <w:r>
              <w:t>specifično toksičan za ciljane organe, karcinogen, mutagen ili reproduktivno toksičan te kao opasan po okoliš, u skladu s Uredbom (EZ) br. 1272/2008 (Uredba o CLP-u), kako je prikazano u tablici 3.</w:t>
            </w:r>
          </w:p>
          <w:p w:rsidR="00D9472D" w:rsidRDefault="00D9472D">
            <w:pPr>
              <w:rPr>
                <w:szCs w:val="22"/>
              </w:rPr>
            </w:pPr>
          </w:p>
          <w:p w:rsidR="00D9472D" w:rsidRDefault="002E5D08">
            <w:pPr>
              <w:rPr>
                <w:b/>
                <w:sz w:val="20"/>
                <w:szCs w:val="20"/>
              </w:rPr>
            </w:pPr>
            <w:r>
              <w:rPr>
                <w:b/>
                <w:sz w:val="20"/>
              </w:rPr>
              <w:t>Tablica </w:t>
            </w:r>
            <w:r>
              <w:rPr>
                <w:b/>
                <w:sz w:val="20"/>
                <w:szCs w:val="20"/>
              </w:rPr>
              <w:fldChar w:fldCharType="begin"/>
            </w:r>
            <w:r>
              <w:rPr>
                <w:b/>
                <w:sz w:val="20"/>
                <w:szCs w:val="20"/>
              </w:rPr>
              <w:instrText xml:space="preserve"> SEQ Table \* ARABIC </w:instrText>
            </w:r>
            <w:r>
              <w:rPr>
                <w:b/>
                <w:sz w:val="20"/>
                <w:szCs w:val="20"/>
              </w:rPr>
              <w:fldChar w:fldCharType="separate"/>
            </w:r>
            <w:r>
              <w:rPr>
                <w:b/>
                <w:noProof/>
                <w:sz w:val="20"/>
                <w:szCs w:val="20"/>
              </w:rPr>
              <w:t>3</w:t>
            </w:r>
            <w:r>
              <w:rPr>
                <w:b/>
                <w:noProof/>
                <w:sz w:val="20"/>
                <w:szCs w:val="20"/>
              </w:rPr>
              <w:fldChar w:fldCharType="end"/>
            </w:r>
            <w:r>
              <w:rPr>
                <w:b/>
                <w:sz w:val="20"/>
              </w:rPr>
              <w:t>. Razvrstavanje konačnog</w:t>
            </w:r>
            <w:r>
              <w:rPr>
                <w:b/>
                <w:sz w:val="20"/>
              </w:rPr>
              <w:t xml:space="preserve"> proizvoda</w:t>
            </w:r>
          </w:p>
          <w:p w:rsidR="00D9472D" w:rsidRDefault="00D9472D">
            <w:pPr>
              <w:rPr>
                <w:szCs w:val="22"/>
              </w:rPr>
            </w:pPr>
          </w:p>
          <w:tbl>
            <w:tblPr>
              <w:tblStyle w:val="TableGrid"/>
              <w:tblW w:w="6896" w:type="dxa"/>
              <w:tblLayout w:type="fixed"/>
              <w:tblLook w:val="04A0" w:firstRow="1" w:lastRow="0" w:firstColumn="1" w:lastColumn="0" w:noHBand="0" w:noVBand="1"/>
            </w:tblPr>
            <w:tblGrid>
              <w:gridCol w:w="4609"/>
              <w:gridCol w:w="2287"/>
            </w:tblGrid>
            <w:tr w:rsidR="00D9472D">
              <w:tc>
                <w:tcPr>
                  <w:tcW w:w="3342" w:type="pct"/>
                </w:tcPr>
                <w:p w:rsidR="00D9472D" w:rsidRDefault="002E5D08">
                  <w:r>
                    <w:t>Akutna toksičnost</w:t>
                  </w:r>
                </w:p>
              </w:tc>
              <w:tc>
                <w:tcPr>
                  <w:tcW w:w="1658" w:type="pct"/>
                </w:tcPr>
                <w:p w:rsidR="00D9472D" w:rsidRDefault="002E5D08">
                  <w:r>
                    <w:t>Ak. toks. 1</w:t>
                  </w:r>
                </w:p>
                <w:p w:rsidR="00D9472D" w:rsidRDefault="002E5D08">
                  <w:r>
                    <w:t>Ak. toks. 2</w:t>
                  </w:r>
                </w:p>
                <w:p w:rsidR="00D9472D" w:rsidRDefault="002E5D08">
                  <w:r>
                    <w:t>Ak. toks. 3</w:t>
                  </w:r>
                </w:p>
              </w:tc>
            </w:tr>
            <w:tr w:rsidR="00D9472D">
              <w:tc>
                <w:tcPr>
                  <w:tcW w:w="3342" w:type="pct"/>
                </w:tcPr>
                <w:p w:rsidR="00D9472D" w:rsidRDefault="002E5D08">
                  <w:r>
                    <w:t xml:space="preserve">Specifična toksičnost za ciljane organe – ponavljano izlaganje </w:t>
                  </w:r>
                </w:p>
                <w:p w:rsidR="00D9472D" w:rsidRDefault="002E5D08">
                  <w:r>
                    <w:t xml:space="preserve">Specifična toksičnost za ciljane organe – jednokratno izlaganje </w:t>
                  </w:r>
                </w:p>
              </w:tc>
              <w:tc>
                <w:tcPr>
                  <w:tcW w:w="1658" w:type="pct"/>
                </w:tcPr>
                <w:p w:rsidR="00D9472D" w:rsidRDefault="002E5D08">
                  <w:r>
                    <w:t>TCOP 1. ili 2.</w:t>
                  </w:r>
                </w:p>
                <w:p w:rsidR="00D9472D" w:rsidRDefault="002E5D08">
                  <w:r>
                    <w:t>TCOJ 1., 2. ili 3.</w:t>
                  </w:r>
                </w:p>
              </w:tc>
            </w:tr>
            <w:tr w:rsidR="00D9472D">
              <w:tc>
                <w:tcPr>
                  <w:tcW w:w="3342" w:type="pct"/>
                </w:tcPr>
                <w:p w:rsidR="00D9472D" w:rsidRDefault="002E5D08">
                  <w:r>
                    <w:t xml:space="preserve">Karcinogenost </w:t>
                  </w:r>
                </w:p>
              </w:tc>
              <w:tc>
                <w:tcPr>
                  <w:tcW w:w="1658" w:type="pct"/>
                </w:tcPr>
                <w:p w:rsidR="00D9472D" w:rsidRDefault="002E5D08">
                  <w:r>
                    <w:t>Karc. 1A</w:t>
                  </w:r>
                </w:p>
                <w:p w:rsidR="00D9472D" w:rsidRDefault="002E5D08">
                  <w:r>
                    <w:t>Karc. 1B</w:t>
                  </w:r>
                </w:p>
                <w:p w:rsidR="00D9472D" w:rsidRDefault="002E5D08">
                  <w:r>
                    <w:t>Karc. 2</w:t>
                  </w:r>
                </w:p>
              </w:tc>
            </w:tr>
            <w:tr w:rsidR="00D9472D">
              <w:tc>
                <w:tcPr>
                  <w:tcW w:w="3342" w:type="pct"/>
                </w:tcPr>
                <w:p w:rsidR="00D9472D" w:rsidRDefault="002E5D08">
                  <w:r>
                    <w:t xml:space="preserve">Mutageni učinak na zametne stanice </w:t>
                  </w:r>
                </w:p>
              </w:tc>
              <w:tc>
                <w:tcPr>
                  <w:tcW w:w="1658" w:type="pct"/>
                </w:tcPr>
                <w:p w:rsidR="00D9472D" w:rsidRDefault="002E5D08">
                  <w:r>
                    <w:t>Muta. 1A</w:t>
                  </w:r>
                </w:p>
                <w:p w:rsidR="00D9472D" w:rsidRDefault="002E5D08">
                  <w:r>
                    <w:t>Muta. 1B</w:t>
                  </w:r>
                </w:p>
                <w:p w:rsidR="00D9472D" w:rsidRDefault="002E5D08">
                  <w:r>
                    <w:t>Muta. 2</w:t>
                  </w:r>
                </w:p>
              </w:tc>
            </w:tr>
            <w:tr w:rsidR="00D9472D">
              <w:tc>
                <w:tcPr>
                  <w:tcW w:w="3342" w:type="pct"/>
                </w:tcPr>
                <w:p w:rsidR="00D9472D" w:rsidRDefault="002E5D08">
                  <w:r>
                    <w:t xml:space="preserve">Reproduktivna toksičnost </w:t>
                  </w:r>
                </w:p>
              </w:tc>
              <w:tc>
                <w:tcPr>
                  <w:tcW w:w="1658" w:type="pct"/>
                </w:tcPr>
                <w:p w:rsidR="00D9472D" w:rsidRDefault="002E5D08">
                  <w:r>
                    <w:t>Repr. 1A</w:t>
                  </w:r>
                </w:p>
                <w:p w:rsidR="00D9472D" w:rsidRDefault="002E5D08">
                  <w:r>
                    <w:t>Repr. 1B</w:t>
                  </w:r>
                </w:p>
                <w:p w:rsidR="00D9472D" w:rsidRDefault="002E5D08">
                  <w:r>
                    <w:t>Repr. 2</w:t>
                  </w:r>
                </w:p>
              </w:tc>
            </w:tr>
            <w:tr w:rsidR="00D9472D">
              <w:tc>
                <w:tcPr>
                  <w:tcW w:w="3342" w:type="pct"/>
                  <w:vMerge w:val="restart"/>
                </w:tcPr>
                <w:p w:rsidR="00D9472D" w:rsidRDefault="002E5D08">
                  <w:r>
                    <w:t>Opasno za vodeni okoliš</w:t>
                  </w:r>
                </w:p>
              </w:tc>
              <w:tc>
                <w:tcPr>
                  <w:tcW w:w="1658" w:type="pct"/>
                </w:tcPr>
                <w:p w:rsidR="00D9472D" w:rsidRDefault="002E5D08">
                  <w:r>
                    <w:t>Ak. toks. vod okol. 1.</w:t>
                  </w:r>
                </w:p>
              </w:tc>
            </w:tr>
            <w:tr w:rsidR="00D9472D">
              <w:tc>
                <w:tcPr>
                  <w:tcW w:w="3342" w:type="pct"/>
                  <w:vMerge/>
                </w:tcPr>
                <w:p w:rsidR="00D9472D" w:rsidRDefault="00D9472D"/>
              </w:tc>
              <w:tc>
                <w:tcPr>
                  <w:tcW w:w="1658" w:type="pct"/>
                </w:tcPr>
                <w:p w:rsidR="00D9472D" w:rsidRDefault="002E5D08">
                  <w:r>
                    <w:t>Kron. toks. vod. okol. 1. ili 2.</w:t>
                  </w:r>
                </w:p>
              </w:tc>
            </w:tr>
          </w:tbl>
          <w:p w:rsidR="00D9472D" w:rsidRDefault="00D9472D">
            <w:pPr>
              <w:rPr>
                <w:szCs w:val="22"/>
              </w:rPr>
            </w:pPr>
          </w:p>
          <w:p w:rsidR="00D9472D" w:rsidRDefault="002E5D08">
            <w:pPr>
              <w:rPr>
                <w:b/>
                <w:szCs w:val="22"/>
              </w:rPr>
            </w:pPr>
            <w:r>
              <w:rPr>
                <w:b/>
              </w:rPr>
              <w:t>Provjera:</w:t>
            </w:r>
          </w:p>
          <w:p w:rsidR="00D9472D" w:rsidRDefault="002E5D08">
            <w:pPr>
              <w:rPr>
                <w:szCs w:val="22"/>
              </w:rPr>
            </w:pPr>
            <w:r>
              <w:t xml:space="preserve">Ponuditelj dostavlja </w:t>
            </w:r>
            <w:r>
              <w:t>odgovarajuće dokumente kojima se potvrđuje da proizvodi koje treba dostaviti nisu razvrstani prema navedenim opasnostima.</w:t>
            </w:r>
          </w:p>
          <w:p w:rsidR="00D9472D" w:rsidRDefault="002E5D08">
            <w:pPr>
              <w:rPr>
                <w:szCs w:val="22"/>
              </w:rPr>
            </w:pPr>
            <w:r>
              <w:t>Dokumentacija o razvrstavanju smjese dostavlja se u skladu s pravilima utvrđenima u Uredbi (EZ) br. 1272/2008 (Uredba o CLP-u) i/ili s</w:t>
            </w:r>
            <w:r>
              <w:t>igurnosno-tehničkim listovima.</w:t>
            </w:r>
          </w:p>
          <w:p w:rsidR="00D9472D" w:rsidRDefault="002E5D08">
            <w:pPr>
              <w:rPr>
                <w:noProof/>
                <w:szCs w:val="22"/>
              </w:rPr>
            </w:pPr>
            <w:r>
              <w:t>Proizvodi kojima je dodijeljen znak za okoliš EU-a za boje i lakove, kako je utvrđeno Odlukom Komisije (EU) 2014/312/EU, smatraju se usklađenima.</w:t>
            </w:r>
          </w:p>
          <w:p w:rsidR="00D9472D" w:rsidRDefault="00D9472D">
            <w:pPr>
              <w:rPr>
                <w:b/>
                <w:szCs w:val="22"/>
              </w:rPr>
            </w:pPr>
          </w:p>
        </w:tc>
        <w:tc>
          <w:tcPr>
            <w:tcW w:w="2506" w:type="pct"/>
            <w:shd w:val="clear" w:color="auto" w:fill="auto"/>
          </w:tcPr>
          <w:p w:rsidR="00D9472D" w:rsidRDefault="002E5D08">
            <w:pPr>
              <w:tabs>
                <w:tab w:val="left" w:pos="1951"/>
                <w:tab w:val="left" w:pos="4502"/>
              </w:tabs>
              <w:rPr>
                <w:b/>
                <w:szCs w:val="22"/>
              </w:rPr>
            </w:pPr>
            <w:r>
              <w:rPr>
                <w:b/>
              </w:rPr>
              <w:t>1.3. Označivanje proizvoda s obzirom na opasnost</w:t>
            </w:r>
          </w:p>
          <w:p w:rsidR="00D9472D" w:rsidRDefault="00D9472D">
            <w:pPr>
              <w:tabs>
                <w:tab w:val="left" w:pos="1951"/>
                <w:tab w:val="left" w:pos="4502"/>
              </w:tabs>
              <w:rPr>
                <w:b/>
                <w:szCs w:val="22"/>
              </w:rPr>
            </w:pPr>
          </w:p>
          <w:p w:rsidR="00D9472D" w:rsidRDefault="002E5D08">
            <w:pPr>
              <w:rPr>
                <w:szCs w:val="22"/>
              </w:rPr>
            </w:pPr>
            <w:r>
              <w:t>Konačni proizvod ne smije bi</w:t>
            </w:r>
            <w:r>
              <w:t>ti razvrstan kao akutno toksičan, specifično toksičan za ciljane organe, kao tvar koja izaziva preosjetljivost dišnih putova ili kože, kao karcinogen, mutagen ili reproduktivno toksičan te kao opasan po okoliš, u skladu s Uredbom (EZ) br. 1272/2008 (Uredba</w:t>
            </w:r>
            <w:r>
              <w:t xml:space="preserve"> o CLP-u), kako je prikazano u tablici 4.</w:t>
            </w:r>
          </w:p>
          <w:p w:rsidR="00D9472D" w:rsidRDefault="00D9472D">
            <w:pPr>
              <w:rPr>
                <w:szCs w:val="22"/>
              </w:rPr>
            </w:pPr>
          </w:p>
          <w:p w:rsidR="00D9472D" w:rsidRDefault="002E5D08">
            <w:pPr>
              <w:rPr>
                <w:b/>
                <w:sz w:val="20"/>
                <w:szCs w:val="20"/>
              </w:rPr>
            </w:pPr>
            <w:r>
              <w:rPr>
                <w:b/>
                <w:sz w:val="20"/>
              </w:rPr>
              <w:t>Tablica </w:t>
            </w:r>
            <w:r>
              <w:rPr>
                <w:b/>
                <w:sz w:val="20"/>
                <w:szCs w:val="20"/>
              </w:rPr>
              <w:fldChar w:fldCharType="begin"/>
            </w:r>
            <w:r>
              <w:rPr>
                <w:b/>
                <w:sz w:val="20"/>
                <w:szCs w:val="20"/>
              </w:rPr>
              <w:instrText xml:space="preserve"> SEQ Table \* ARABIC </w:instrText>
            </w:r>
            <w:r>
              <w:rPr>
                <w:b/>
                <w:sz w:val="20"/>
                <w:szCs w:val="20"/>
              </w:rPr>
              <w:fldChar w:fldCharType="separate"/>
            </w:r>
            <w:r>
              <w:rPr>
                <w:b/>
                <w:noProof/>
                <w:sz w:val="20"/>
                <w:szCs w:val="20"/>
              </w:rPr>
              <w:t>4</w:t>
            </w:r>
            <w:r>
              <w:rPr>
                <w:b/>
                <w:noProof/>
                <w:sz w:val="20"/>
                <w:szCs w:val="20"/>
              </w:rPr>
              <w:fldChar w:fldCharType="end"/>
            </w:r>
            <w:r>
              <w:rPr>
                <w:b/>
                <w:sz w:val="20"/>
              </w:rPr>
              <w:t>.</w:t>
            </w:r>
            <w:r>
              <w:tab/>
            </w:r>
            <w:r>
              <w:rPr>
                <w:b/>
                <w:sz w:val="20"/>
              </w:rPr>
              <w:t>Razvrstavanje konačnog proizvoda</w:t>
            </w:r>
          </w:p>
          <w:p w:rsidR="00D9472D" w:rsidRDefault="00D9472D">
            <w:pPr>
              <w:rPr>
                <w:szCs w:val="22"/>
              </w:rPr>
            </w:pPr>
          </w:p>
          <w:tbl>
            <w:tblPr>
              <w:tblStyle w:val="TableGrid"/>
              <w:tblW w:w="5000" w:type="pct"/>
              <w:tblLayout w:type="fixed"/>
              <w:tblLook w:val="04A0" w:firstRow="1" w:lastRow="0" w:firstColumn="1" w:lastColumn="0" w:noHBand="0" w:noVBand="1"/>
            </w:tblPr>
            <w:tblGrid>
              <w:gridCol w:w="4609"/>
              <w:gridCol w:w="2286"/>
            </w:tblGrid>
            <w:tr w:rsidR="00D9472D">
              <w:tc>
                <w:tcPr>
                  <w:tcW w:w="3342" w:type="pct"/>
                </w:tcPr>
                <w:p w:rsidR="00D9472D" w:rsidRDefault="002E5D08">
                  <w:r>
                    <w:t>Akutna toksičnost</w:t>
                  </w:r>
                </w:p>
              </w:tc>
              <w:tc>
                <w:tcPr>
                  <w:tcW w:w="1658" w:type="pct"/>
                </w:tcPr>
                <w:p w:rsidR="00D9472D" w:rsidRDefault="002E5D08">
                  <w:r>
                    <w:t>Ak. toks. 1</w:t>
                  </w:r>
                </w:p>
                <w:p w:rsidR="00D9472D" w:rsidRDefault="002E5D08">
                  <w:r>
                    <w:t>Ak. toks. 2</w:t>
                  </w:r>
                </w:p>
                <w:p w:rsidR="00D9472D" w:rsidRDefault="002E5D08">
                  <w:r>
                    <w:t>Ak. toks. 3</w:t>
                  </w:r>
                </w:p>
              </w:tc>
            </w:tr>
            <w:tr w:rsidR="00D9472D">
              <w:tc>
                <w:tcPr>
                  <w:tcW w:w="3342" w:type="pct"/>
                </w:tcPr>
                <w:p w:rsidR="00D9472D" w:rsidRDefault="002E5D08">
                  <w:r>
                    <w:t xml:space="preserve">Specifična toksičnost za ciljane organe – ponavljano izlaganje </w:t>
                  </w:r>
                </w:p>
                <w:p w:rsidR="00D9472D" w:rsidRDefault="002E5D08">
                  <w:r>
                    <w:t xml:space="preserve">Specifična toksičnost za ciljane organe – jednokratno izlaganje </w:t>
                  </w:r>
                </w:p>
              </w:tc>
              <w:tc>
                <w:tcPr>
                  <w:tcW w:w="1658" w:type="pct"/>
                </w:tcPr>
                <w:p w:rsidR="00D9472D" w:rsidRDefault="002E5D08">
                  <w:r>
                    <w:t>TCOP 1. ili 2.</w:t>
                  </w:r>
                </w:p>
                <w:p w:rsidR="00D9472D" w:rsidRDefault="002E5D08">
                  <w:r>
                    <w:t>TCOJ 1., 2. ili 3.</w:t>
                  </w:r>
                </w:p>
              </w:tc>
            </w:tr>
            <w:tr w:rsidR="00D9472D">
              <w:tc>
                <w:tcPr>
                  <w:tcW w:w="3342" w:type="pct"/>
                </w:tcPr>
                <w:p w:rsidR="00D9472D" w:rsidRDefault="002E5D08">
                  <w:r>
                    <w:t xml:space="preserve">Karcinogenost </w:t>
                  </w:r>
                </w:p>
              </w:tc>
              <w:tc>
                <w:tcPr>
                  <w:tcW w:w="1658" w:type="pct"/>
                </w:tcPr>
                <w:p w:rsidR="00D9472D" w:rsidRDefault="002E5D08">
                  <w:r>
                    <w:t>Karc. 1A</w:t>
                  </w:r>
                </w:p>
                <w:p w:rsidR="00D9472D" w:rsidRDefault="002E5D08">
                  <w:r>
                    <w:t>Karc. 1B</w:t>
                  </w:r>
                </w:p>
                <w:p w:rsidR="00D9472D" w:rsidRDefault="002E5D08">
                  <w:r>
                    <w:t>Karc. 2</w:t>
                  </w:r>
                </w:p>
              </w:tc>
            </w:tr>
            <w:tr w:rsidR="00D9472D">
              <w:tc>
                <w:tcPr>
                  <w:tcW w:w="3342" w:type="pct"/>
                </w:tcPr>
                <w:p w:rsidR="00D9472D" w:rsidRDefault="002E5D08">
                  <w:r>
                    <w:t xml:space="preserve">Mutageni učinak na zametne stanice </w:t>
                  </w:r>
                </w:p>
              </w:tc>
              <w:tc>
                <w:tcPr>
                  <w:tcW w:w="1658" w:type="pct"/>
                </w:tcPr>
                <w:p w:rsidR="00D9472D" w:rsidRDefault="002E5D08">
                  <w:r>
                    <w:t>Muta. 1A</w:t>
                  </w:r>
                </w:p>
                <w:p w:rsidR="00D9472D" w:rsidRDefault="002E5D08">
                  <w:r>
                    <w:t>Muta. 1B</w:t>
                  </w:r>
                </w:p>
                <w:p w:rsidR="00D9472D" w:rsidRDefault="002E5D08">
                  <w:r>
                    <w:t>Muta. 2</w:t>
                  </w:r>
                </w:p>
              </w:tc>
            </w:tr>
            <w:tr w:rsidR="00D9472D">
              <w:tc>
                <w:tcPr>
                  <w:tcW w:w="3342" w:type="pct"/>
                </w:tcPr>
                <w:p w:rsidR="00D9472D" w:rsidRDefault="002E5D08">
                  <w:r>
                    <w:t xml:space="preserve">Reproduktivna toksičnost </w:t>
                  </w:r>
                </w:p>
              </w:tc>
              <w:tc>
                <w:tcPr>
                  <w:tcW w:w="1658" w:type="pct"/>
                </w:tcPr>
                <w:p w:rsidR="00D9472D" w:rsidRDefault="002E5D08">
                  <w:r>
                    <w:t>Repr. 1A</w:t>
                  </w:r>
                </w:p>
                <w:p w:rsidR="00D9472D" w:rsidRDefault="002E5D08">
                  <w:r>
                    <w:t>Repr. 1B</w:t>
                  </w:r>
                </w:p>
                <w:p w:rsidR="00D9472D" w:rsidRDefault="002E5D08">
                  <w:r>
                    <w:t>Repr. 2</w:t>
                  </w:r>
                </w:p>
              </w:tc>
            </w:tr>
            <w:tr w:rsidR="00D9472D">
              <w:tc>
                <w:tcPr>
                  <w:tcW w:w="3342" w:type="pct"/>
                  <w:vMerge w:val="restart"/>
                </w:tcPr>
                <w:p w:rsidR="00D9472D" w:rsidRDefault="002E5D08">
                  <w:r>
                    <w:t xml:space="preserve">Opasno za vodeni okoliš </w:t>
                  </w:r>
                </w:p>
                <w:p w:rsidR="00D9472D" w:rsidRDefault="00D9472D"/>
              </w:tc>
              <w:tc>
                <w:tcPr>
                  <w:tcW w:w="1658" w:type="pct"/>
                </w:tcPr>
                <w:p w:rsidR="00D9472D" w:rsidRDefault="002E5D08">
                  <w:r>
                    <w:t>Ak. toks. vod okol. 1.</w:t>
                  </w:r>
                </w:p>
              </w:tc>
            </w:tr>
            <w:tr w:rsidR="00D9472D">
              <w:tc>
                <w:tcPr>
                  <w:tcW w:w="3342" w:type="pct"/>
                  <w:vMerge/>
                </w:tcPr>
                <w:p w:rsidR="00D9472D" w:rsidRDefault="00D9472D"/>
              </w:tc>
              <w:tc>
                <w:tcPr>
                  <w:tcW w:w="1658" w:type="pct"/>
                </w:tcPr>
                <w:p w:rsidR="00D9472D" w:rsidRDefault="002E5D08">
                  <w:pPr>
                    <w:jc w:val="left"/>
                  </w:pPr>
                  <w:r>
                    <w:t>Kron. toks. vod. okol. 1. ili 2.</w:t>
                  </w:r>
                </w:p>
              </w:tc>
            </w:tr>
            <w:tr w:rsidR="00D9472D">
              <w:tc>
                <w:tcPr>
                  <w:tcW w:w="3342" w:type="pct"/>
                  <w:vMerge/>
                </w:tcPr>
                <w:p w:rsidR="00D9472D" w:rsidRDefault="00D9472D"/>
              </w:tc>
              <w:tc>
                <w:tcPr>
                  <w:tcW w:w="1658" w:type="pct"/>
                </w:tcPr>
                <w:p w:rsidR="00D9472D" w:rsidRDefault="002E5D08">
                  <w:pPr>
                    <w:jc w:val="left"/>
                  </w:pPr>
                  <w:r>
                    <w:t>Kron. toks. vod. okol. 3.</w:t>
                  </w:r>
                  <w:r>
                    <w:rPr>
                      <w:vertAlign w:val="superscript"/>
                    </w:rPr>
                    <w:t>*</w:t>
                  </w:r>
                  <w:r>
                    <w:t xml:space="preserve"> </w:t>
                  </w:r>
                </w:p>
              </w:tc>
            </w:tr>
            <w:tr w:rsidR="00D9472D">
              <w:tc>
                <w:tcPr>
                  <w:tcW w:w="3342" w:type="pct"/>
                </w:tcPr>
                <w:p w:rsidR="00D9472D" w:rsidRDefault="002E5D08">
                  <w:r>
                    <w:t>Izazivanje preosjetljivosti dišnih putova</w:t>
                  </w:r>
                </w:p>
                <w:p w:rsidR="00D9472D" w:rsidRDefault="00D9472D"/>
              </w:tc>
              <w:tc>
                <w:tcPr>
                  <w:tcW w:w="1658" w:type="pct"/>
                </w:tcPr>
                <w:p w:rsidR="00D9472D" w:rsidRDefault="002E5D08">
                  <w:r>
                    <w:t>Resp. senz. 1, 1A ili 1B</w:t>
                  </w:r>
                </w:p>
              </w:tc>
            </w:tr>
            <w:tr w:rsidR="00D9472D">
              <w:tc>
                <w:tcPr>
                  <w:tcW w:w="3342" w:type="pct"/>
                </w:tcPr>
                <w:p w:rsidR="00D9472D" w:rsidRDefault="002E5D08">
                  <w:r>
                    <w:t>Izazivanje preosjetljivosti kože</w:t>
                  </w:r>
                </w:p>
              </w:tc>
              <w:tc>
                <w:tcPr>
                  <w:tcW w:w="1658" w:type="pct"/>
                </w:tcPr>
                <w:p w:rsidR="00D9472D" w:rsidRDefault="002E5D08">
                  <w:pPr>
                    <w:jc w:val="left"/>
                  </w:pPr>
                  <w:r>
                    <w:t>Derm. senz. 1, 1A ili 1B</w:t>
                  </w:r>
                </w:p>
              </w:tc>
            </w:tr>
          </w:tbl>
          <w:p w:rsidR="00D9472D" w:rsidRDefault="002E5D08">
            <w:pPr>
              <w:rPr>
                <w:sz w:val="18"/>
                <w:szCs w:val="18"/>
              </w:rPr>
            </w:pPr>
            <w:r>
              <w:rPr>
                <w:sz w:val="18"/>
                <w:vertAlign w:val="superscript"/>
              </w:rPr>
              <w:t>*</w:t>
            </w:r>
            <w:r>
              <w:t xml:space="preserve"> </w:t>
            </w:r>
            <w:r>
              <w:rPr>
                <w:sz w:val="18"/>
              </w:rPr>
              <w:t xml:space="preserve">Konačni </w:t>
            </w:r>
            <w:r>
              <w:rPr>
                <w:sz w:val="18"/>
              </w:rPr>
              <w:t>proizvod smije biti razvrstan kao H412 samo ako se u bojama i lakovima za vanjsku primjenu upotrebljavaju kombinacije sredstava za zaštitu suhog filma koje sadržavaju 3-jodo-2-propinil-butil-karbamat (IPBC) u koncentracijama jednakima ili manjima od 0,650 </w:t>
            </w:r>
            <w:r>
              <w:rPr>
                <w:sz w:val="18"/>
              </w:rPr>
              <w:t>% masenog udjela.</w:t>
            </w:r>
          </w:p>
          <w:p w:rsidR="00D9472D" w:rsidRDefault="00D9472D">
            <w:pPr>
              <w:rPr>
                <w:szCs w:val="22"/>
              </w:rPr>
            </w:pPr>
          </w:p>
          <w:p w:rsidR="00D9472D" w:rsidRDefault="002E5D08">
            <w:pPr>
              <w:rPr>
                <w:b/>
                <w:szCs w:val="22"/>
              </w:rPr>
            </w:pPr>
            <w:r>
              <w:rPr>
                <w:b/>
              </w:rPr>
              <w:t>Provjera:</w:t>
            </w:r>
          </w:p>
          <w:p w:rsidR="00D9472D" w:rsidRDefault="002E5D08">
            <w:pPr>
              <w:rPr>
                <w:szCs w:val="22"/>
              </w:rPr>
            </w:pPr>
            <w:r>
              <w:t>Ponuditelj dostavlja odgovarajuće dokumente kojima se potvrđuje da proizvodi koje treba dostaviti nisu razvrstani prema navedenim opasnostima.</w:t>
            </w:r>
          </w:p>
          <w:p w:rsidR="00D9472D" w:rsidRDefault="002E5D08">
            <w:pPr>
              <w:rPr>
                <w:szCs w:val="22"/>
              </w:rPr>
            </w:pPr>
            <w:r>
              <w:t xml:space="preserve">Dokumentacija o razvrstavanju smjese dostavlja se u skladu s pravilima utvrđenima u </w:t>
            </w:r>
            <w:r>
              <w:t>Uredbi (EZ) br. 1272/2008 (Uredba o CLP-u) i/ili sigurnosno-tehničkim listovima.</w:t>
            </w:r>
          </w:p>
          <w:p w:rsidR="00D9472D" w:rsidRDefault="002E5D08">
            <w:pPr>
              <w:rPr>
                <w:szCs w:val="22"/>
              </w:rPr>
            </w:pPr>
            <w:r>
              <w:t>Za proizvode za vanjsku primjenu koji su razvrstani kao kronično toksični u vodenom okolišu 3. kategorije i sadržavaju IPBC ponuditelji prema potrebi dostavljaju dokumentaciju</w:t>
            </w:r>
            <w:r>
              <w:t xml:space="preserve"> u kojoj je utvrđeno da je udio kombinacije IPBC-a jednak ili manji od 0,650 % masenog udjela.</w:t>
            </w:r>
          </w:p>
          <w:p w:rsidR="00D9472D" w:rsidRDefault="002E5D08">
            <w:pPr>
              <w:rPr>
                <w:noProof/>
                <w:szCs w:val="22"/>
              </w:rPr>
            </w:pPr>
            <w:r>
              <w:t>Proizvodi kojima je dodijeljen znak za okoliš EU-a za boje i lakove, kako je utvrđeno Odlukom Komisije (EU) 2014/312/EU, smatraju se usklađenima.</w:t>
            </w:r>
          </w:p>
          <w:p w:rsidR="00D9472D" w:rsidRDefault="00D9472D">
            <w:pPr>
              <w:rPr>
                <w:b/>
                <w:szCs w:val="22"/>
              </w:rPr>
            </w:pPr>
          </w:p>
        </w:tc>
      </w:tr>
      <w:tr w:rsidR="00D9472D">
        <w:tc>
          <w:tcPr>
            <w:tcW w:w="2494" w:type="pct"/>
            <w:shd w:val="clear" w:color="auto" w:fill="auto"/>
          </w:tcPr>
          <w:p w:rsidR="00D9472D" w:rsidRDefault="00D9472D">
            <w:pPr>
              <w:tabs>
                <w:tab w:val="left" w:pos="1951"/>
                <w:tab w:val="left" w:pos="4502"/>
              </w:tabs>
              <w:rPr>
                <w:b/>
                <w:szCs w:val="22"/>
              </w:rPr>
            </w:pPr>
          </w:p>
        </w:tc>
        <w:tc>
          <w:tcPr>
            <w:tcW w:w="2506" w:type="pct"/>
            <w:shd w:val="clear" w:color="auto" w:fill="auto"/>
          </w:tcPr>
          <w:p w:rsidR="00D9472D" w:rsidRDefault="00D9472D">
            <w:pPr>
              <w:tabs>
                <w:tab w:val="left" w:pos="1951"/>
                <w:tab w:val="left" w:pos="4502"/>
              </w:tabs>
              <w:rPr>
                <w:b/>
                <w:szCs w:val="22"/>
              </w:rPr>
            </w:pPr>
          </w:p>
        </w:tc>
      </w:tr>
    </w:tbl>
    <w:p w:rsidR="00D9472D" w:rsidRDefault="00D9472D">
      <w:pPr>
        <w:tabs>
          <w:tab w:val="left" w:pos="1951"/>
          <w:tab w:val="left" w:pos="4502"/>
        </w:tabs>
        <w:rPr>
          <w:b/>
          <w:szCs w:val="22"/>
        </w:rPr>
        <w:sectPr w:rsidR="00D9472D">
          <w:headerReference w:type="even" r:id="rId35"/>
          <w:headerReference w:type="default" r:id="rId36"/>
          <w:footerReference w:type="even" r:id="rId37"/>
          <w:footerReference w:type="default" r:id="rId38"/>
          <w:headerReference w:type="first" r:id="rId39"/>
          <w:footerReference w:type="first" r:id="rId40"/>
          <w:pgSz w:w="16838" w:h="11906" w:orient="landscape"/>
          <w:pgMar w:top="1800" w:right="1440" w:bottom="1800" w:left="1440" w:header="708" w:footer="708" w:gutter="0"/>
          <w:cols w:space="708"/>
          <w:titlePg/>
          <w:docGrid w:linePitch="360"/>
        </w:sectPr>
      </w:pPr>
    </w:p>
    <w:tbl>
      <w:tblPr>
        <w:tblW w:w="501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7"/>
        <w:gridCol w:w="7121"/>
      </w:tblGrid>
      <w:tr w:rsidR="00D9472D">
        <w:tc>
          <w:tcPr>
            <w:tcW w:w="2494" w:type="pct"/>
            <w:shd w:val="clear" w:color="auto" w:fill="auto"/>
          </w:tcPr>
          <w:p w:rsidR="00D9472D" w:rsidRDefault="002E5D08">
            <w:pPr>
              <w:tabs>
                <w:tab w:val="left" w:pos="1951"/>
                <w:tab w:val="left" w:pos="4502"/>
              </w:tabs>
              <w:rPr>
                <w:b/>
                <w:szCs w:val="22"/>
              </w:rPr>
            </w:pPr>
            <w:r>
              <w:rPr>
                <w:b/>
              </w:rPr>
              <w:t>1.4. Opasni sastojci</w:t>
            </w:r>
          </w:p>
          <w:p w:rsidR="00D9472D" w:rsidRDefault="00D9472D">
            <w:pPr>
              <w:tabs>
                <w:tab w:val="left" w:pos="1951"/>
                <w:tab w:val="left" w:pos="4502"/>
              </w:tabs>
              <w:rPr>
                <w:b/>
                <w:szCs w:val="22"/>
              </w:rPr>
            </w:pPr>
          </w:p>
          <w:p w:rsidR="00D9472D" w:rsidRDefault="002E5D08">
            <w:pPr>
              <w:rPr>
                <w:szCs w:val="22"/>
              </w:rPr>
            </w:pPr>
            <w:r>
              <w:t xml:space="preserve">Boje moraju biti u skladu s ograničenjima navedenima u tablici 5., kojima se ograničava prisutnost naznačenih opasnih tvari u boji ili se ograničava njihova koncentracija.  </w:t>
            </w:r>
          </w:p>
          <w:p w:rsidR="00D9472D" w:rsidRDefault="002E5D08">
            <w:pPr>
              <w:pStyle w:val="StyleCaption11ptItalic"/>
            </w:pPr>
            <w:r>
              <w:t>Tablica </w:t>
            </w:r>
            <w:r>
              <w:fldChar w:fldCharType="begin"/>
            </w:r>
            <w:r>
              <w:instrText xml:space="preserve"> SEQ Table \* ARABIC </w:instrText>
            </w:r>
            <w:r>
              <w:fldChar w:fldCharType="separate"/>
            </w:r>
            <w:r>
              <w:rPr>
                <w:noProof/>
              </w:rPr>
              <w:t>5</w:t>
            </w:r>
            <w:r>
              <w:rPr>
                <w:noProof/>
              </w:rPr>
              <w:fldChar w:fldCharType="end"/>
            </w:r>
            <w:r>
              <w:t>. Zahtjevi u pogledu opasnih sastojaka boje</w:t>
            </w:r>
          </w:p>
          <w:tbl>
            <w:tblPr>
              <w:tblStyle w:val="TableGrid"/>
              <w:tblW w:w="0" w:type="auto"/>
              <w:tblLayout w:type="fixed"/>
              <w:tblLook w:val="04A0" w:firstRow="1" w:lastRow="0" w:firstColumn="1" w:lastColumn="0" w:noHBand="0" w:noVBand="1"/>
            </w:tblPr>
            <w:tblGrid>
              <w:gridCol w:w="3749"/>
              <w:gridCol w:w="2428"/>
            </w:tblGrid>
            <w:tr w:rsidR="00D9472D">
              <w:tc>
                <w:tcPr>
                  <w:tcW w:w="3749" w:type="dxa"/>
                </w:tcPr>
                <w:p w:rsidR="00D9472D" w:rsidRDefault="002E5D08">
                  <w:pPr>
                    <w:rPr>
                      <w:b/>
                      <w:szCs w:val="22"/>
                    </w:rPr>
                  </w:pPr>
                  <w:r>
                    <w:rPr>
                      <w:b/>
                    </w:rPr>
                    <w:t>Sasto</w:t>
                  </w:r>
                  <w:r>
                    <w:rPr>
                      <w:b/>
                    </w:rPr>
                    <w:t>jak</w:t>
                  </w:r>
                </w:p>
              </w:tc>
              <w:tc>
                <w:tcPr>
                  <w:tcW w:w="2428" w:type="dxa"/>
                </w:tcPr>
                <w:p w:rsidR="00D9472D" w:rsidRDefault="002E5D08">
                  <w:pPr>
                    <w:rPr>
                      <w:b/>
                      <w:szCs w:val="22"/>
                    </w:rPr>
                  </w:pPr>
                  <w:r>
                    <w:rPr>
                      <w:b/>
                    </w:rPr>
                    <w:t>Ograničenje ili gornja granica koncentracije</w:t>
                  </w:r>
                </w:p>
              </w:tc>
            </w:tr>
            <w:tr w:rsidR="00D9472D">
              <w:tc>
                <w:tcPr>
                  <w:tcW w:w="3749" w:type="dxa"/>
                </w:tcPr>
                <w:p w:rsidR="00D9472D" w:rsidRDefault="002E5D08">
                  <w:pPr>
                    <w:rPr>
                      <w:szCs w:val="22"/>
                    </w:rPr>
                  </w:pPr>
                  <w:r>
                    <w:t>Konzervansi:</w:t>
                  </w:r>
                </w:p>
              </w:tc>
              <w:tc>
                <w:tcPr>
                  <w:tcW w:w="2428" w:type="dxa"/>
                </w:tcPr>
                <w:p w:rsidR="00D9472D" w:rsidRDefault="002E5D08">
                  <w:pPr>
                    <w:keepNext/>
                    <w:keepLines/>
                    <w:autoSpaceDE w:val="0"/>
                    <w:autoSpaceDN w:val="0"/>
                    <w:adjustRightInd w:val="0"/>
                    <w:outlineLvl w:val="0"/>
                  </w:pPr>
                  <w:r>
                    <w:t>Konzervansi ne smiju biti bioakumulativni</w:t>
                  </w:r>
                  <w:r>
                    <w:rPr>
                      <w:vertAlign w:val="superscript"/>
                    </w:rPr>
                    <w:t>1</w:t>
                  </w:r>
                  <w:r>
                    <w:t>.</w:t>
                  </w:r>
                </w:p>
              </w:tc>
            </w:tr>
            <w:tr w:rsidR="00D9472D">
              <w:tc>
                <w:tcPr>
                  <w:tcW w:w="3749" w:type="dxa"/>
                </w:tcPr>
                <w:p w:rsidR="00D9472D" w:rsidRDefault="002E5D08">
                  <w:pPr>
                    <w:rPr>
                      <w:szCs w:val="22"/>
                    </w:rPr>
                  </w:pPr>
                  <w:r>
                    <w:t>Sredstva za zaštitu suhog filma:</w:t>
                  </w:r>
                </w:p>
              </w:tc>
              <w:tc>
                <w:tcPr>
                  <w:tcW w:w="2428" w:type="dxa"/>
                </w:tcPr>
                <w:p w:rsidR="00D9472D" w:rsidRDefault="002E5D08">
                  <w:pPr>
                    <w:rPr>
                      <w:szCs w:val="22"/>
                    </w:rPr>
                  </w:pPr>
                  <w:r>
                    <w:t>Sredstva za zaštitu suhog filma ne smiju se namjerno upotrebljavati uz iznimku:</w:t>
                  </w:r>
                </w:p>
                <w:p w:rsidR="00D9472D" w:rsidRDefault="002E5D08">
                  <w:pPr>
                    <w:pStyle w:val="ListParagraph"/>
                    <w:numPr>
                      <w:ilvl w:val="0"/>
                      <w:numId w:val="3"/>
                    </w:numPr>
                    <w:ind w:left="331" w:firstLine="16"/>
                    <w:rPr>
                      <w:szCs w:val="22"/>
                    </w:rPr>
                  </w:pPr>
                  <w:r>
                    <w:t xml:space="preserve">boja za unutarnju primjenu koje su </w:t>
                  </w:r>
                  <w:r>
                    <w:t>potrebne na područjima s visokom vlagom s gornjom granicom koncentracije od 0,10 % masenog udjela</w:t>
                  </w:r>
                </w:p>
                <w:p w:rsidR="00D9472D" w:rsidRDefault="002E5D08">
                  <w:pPr>
                    <w:pStyle w:val="ListParagraph"/>
                    <w:numPr>
                      <w:ilvl w:val="0"/>
                      <w:numId w:val="3"/>
                    </w:numPr>
                    <w:ind w:left="331" w:firstLine="16"/>
                    <w:rPr>
                      <w:szCs w:val="22"/>
                    </w:rPr>
                  </w:pPr>
                  <w:r>
                    <w:t>boja za vanjsku primjenu s gornjom granicom koncentracije od 0,30 % masenog udjela.</w:t>
                  </w:r>
                </w:p>
              </w:tc>
            </w:tr>
            <w:tr w:rsidR="00D9472D">
              <w:tc>
                <w:tcPr>
                  <w:tcW w:w="3749" w:type="dxa"/>
                </w:tcPr>
                <w:p w:rsidR="00D9472D" w:rsidRDefault="002E5D08">
                  <w:pPr>
                    <w:rPr>
                      <w:szCs w:val="22"/>
                    </w:rPr>
                  </w:pPr>
                  <w:r>
                    <w:t xml:space="preserve">Alkilfenoletoksilati: alkilfenoletoksilati (APEO-ovi) i njihovi derivati </w:t>
                  </w:r>
                  <w:r>
                    <w:t>ne smiju se upotrebljavati u pripravcima ili formulacijama boja ili lakova.</w:t>
                  </w:r>
                </w:p>
                <w:p w:rsidR="00D9472D" w:rsidRDefault="00D9472D">
                  <w:pPr>
                    <w:rPr>
                      <w:szCs w:val="22"/>
                    </w:rPr>
                  </w:pPr>
                </w:p>
              </w:tc>
              <w:tc>
                <w:tcPr>
                  <w:tcW w:w="2428" w:type="dxa"/>
                </w:tcPr>
                <w:p w:rsidR="00D9472D" w:rsidRDefault="002E5D08">
                  <w:pPr>
                    <w:rPr>
                      <w:szCs w:val="22"/>
                    </w:rPr>
                  </w:pPr>
                  <w:r>
                    <w:t>Ne smiju se namjerno upotrebljavati.</w:t>
                  </w:r>
                </w:p>
              </w:tc>
            </w:tr>
            <w:tr w:rsidR="00D9472D">
              <w:tc>
                <w:tcPr>
                  <w:tcW w:w="3749" w:type="dxa"/>
                </w:tcPr>
                <w:p w:rsidR="00D9472D" w:rsidRDefault="002E5D08">
                  <w:pPr>
                    <w:rPr>
                      <w:szCs w:val="22"/>
                    </w:rPr>
                  </w:pPr>
                  <w:r>
                    <w:t>Ftalati:</w:t>
                  </w:r>
                </w:p>
                <w:p w:rsidR="00D9472D" w:rsidRDefault="002E5D08">
                  <w:pPr>
                    <w:rPr>
                      <w:szCs w:val="22"/>
                    </w:rPr>
                  </w:pPr>
                  <w:r>
                    <w:t>ftalati</w:t>
                  </w:r>
                  <w:r>
                    <w:rPr>
                      <w:rStyle w:val="FootnoteReference"/>
                    </w:rPr>
                    <w:footnoteReference w:id="2"/>
                  </w:r>
                  <w:r>
                    <w:t xml:space="preserve"> utvrđeni kao posebno zabrinjavajuće tvari i navedeni na popisu predloženih tvari za uvrštavanje u Uredbu REACH</w:t>
                  </w:r>
                  <w:r>
                    <w:rPr>
                      <w:rStyle w:val="FootnoteReference"/>
                    </w:rPr>
                    <w:footnoteReference w:id="3"/>
                  </w:r>
                  <w:r>
                    <w:t xml:space="preserve"> ne smiju biti prisutni u pripravcima boja ili lakova ili u njihovim formulacijama.</w:t>
                  </w:r>
                </w:p>
                <w:p w:rsidR="00D9472D" w:rsidRDefault="00D9472D">
                  <w:pPr>
                    <w:rPr>
                      <w:szCs w:val="22"/>
                    </w:rPr>
                  </w:pPr>
                </w:p>
              </w:tc>
              <w:tc>
                <w:tcPr>
                  <w:tcW w:w="2428" w:type="dxa"/>
                </w:tcPr>
                <w:p w:rsidR="00D9472D" w:rsidRDefault="002E5D08">
                  <w:pPr>
                    <w:rPr>
                      <w:szCs w:val="22"/>
                    </w:rPr>
                  </w:pPr>
                  <w:r>
                    <w:t>0,1 % masenog udjela</w:t>
                  </w:r>
                </w:p>
              </w:tc>
            </w:tr>
            <w:tr w:rsidR="00D9472D">
              <w:tc>
                <w:tcPr>
                  <w:tcW w:w="3749" w:type="dxa"/>
                </w:tcPr>
                <w:p w:rsidR="00D9472D" w:rsidRDefault="002E5D08">
                  <w:pPr>
                    <w:rPr>
                      <w:szCs w:val="22"/>
                    </w:rPr>
                  </w:pPr>
                  <w:r>
                    <w:t>Formaldehid:</w:t>
                  </w:r>
                </w:p>
                <w:p w:rsidR="00D9472D" w:rsidRDefault="002E5D08">
                  <w:pPr>
                    <w:rPr>
                      <w:szCs w:val="22"/>
                    </w:rPr>
                  </w:pPr>
                  <w:r>
                    <w:t>slobodni formaldehid u bijeloj podlozi, podlozi za nijansiranje i boji za nijansiranje</w:t>
                  </w:r>
                  <w:r>
                    <w:rPr>
                      <w:vertAlign w:val="superscript"/>
                    </w:rPr>
                    <w:t>2</w:t>
                  </w:r>
                  <w:r>
                    <w:t>:</w:t>
                  </w:r>
                </w:p>
              </w:tc>
              <w:tc>
                <w:tcPr>
                  <w:tcW w:w="2428" w:type="dxa"/>
                </w:tcPr>
                <w:p w:rsidR="00D9472D" w:rsidRDefault="00D9472D">
                  <w:pPr>
                    <w:rPr>
                      <w:szCs w:val="22"/>
                    </w:rPr>
                  </w:pPr>
                </w:p>
                <w:p w:rsidR="00D9472D" w:rsidRDefault="00D9472D">
                  <w:pPr>
                    <w:rPr>
                      <w:szCs w:val="22"/>
                    </w:rPr>
                  </w:pPr>
                </w:p>
                <w:p w:rsidR="00D9472D" w:rsidRDefault="002E5D08">
                  <w:pPr>
                    <w:rPr>
                      <w:szCs w:val="22"/>
                    </w:rPr>
                  </w:pPr>
                  <w:r>
                    <w:t>0,010 % masenog udjela</w:t>
                  </w:r>
                </w:p>
              </w:tc>
            </w:tr>
            <w:tr w:rsidR="00D9472D">
              <w:tc>
                <w:tcPr>
                  <w:tcW w:w="3749" w:type="dxa"/>
                </w:tcPr>
                <w:p w:rsidR="00D9472D" w:rsidRDefault="002E5D08">
                  <w:pPr>
                    <w:rPr>
                      <w:szCs w:val="22"/>
                    </w:rPr>
                  </w:pPr>
                  <w:r>
                    <w:t>Metali:</w:t>
                  </w:r>
                </w:p>
                <w:p w:rsidR="00D9472D" w:rsidRDefault="002E5D08">
                  <w:pPr>
                    <w:rPr>
                      <w:szCs w:val="22"/>
                    </w:rPr>
                  </w:pPr>
                  <w:r>
                    <w:t xml:space="preserve">kadmij, </w:t>
                  </w:r>
                  <w:r>
                    <w:t>olovo, krom (VI), živa, arsen, selen.</w:t>
                  </w:r>
                </w:p>
              </w:tc>
              <w:tc>
                <w:tcPr>
                  <w:tcW w:w="2428" w:type="dxa"/>
                </w:tcPr>
                <w:p w:rsidR="00D9472D" w:rsidRDefault="002E5D08">
                  <w:pPr>
                    <w:rPr>
                      <w:szCs w:val="22"/>
                    </w:rPr>
                  </w:pPr>
                  <w:r>
                    <w:t>0,010 % masenog udjela</w:t>
                  </w:r>
                </w:p>
                <w:p w:rsidR="00D9472D" w:rsidRDefault="002E5D08">
                  <w:pPr>
                    <w:rPr>
                      <w:szCs w:val="22"/>
                    </w:rPr>
                  </w:pPr>
                  <w:r>
                    <w:t>po metalu ili metalnom kompleksu/soli, prema potrebi</w:t>
                  </w:r>
                </w:p>
              </w:tc>
            </w:tr>
          </w:tbl>
          <w:p w:rsidR="00D9472D" w:rsidRDefault="002E5D08">
            <w:pPr>
              <w:keepNext/>
              <w:keepLines/>
              <w:autoSpaceDE w:val="0"/>
              <w:autoSpaceDN w:val="0"/>
              <w:adjustRightInd w:val="0"/>
              <w:outlineLvl w:val="0"/>
              <w:rPr>
                <w:sz w:val="18"/>
                <w:szCs w:val="18"/>
              </w:rPr>
            </w:pPr>
            <w:r>
              <w:rPr>
                <w:sz w:val="18"/>
                <w:vertAlign w:val="superscript"/>
              </w:rPr>
              <w:t>1</w:t>
            </w:r>
            <w:r>
              <w:rPr>
                <w:sz w:val="18"/>
              </w:rPr>
              <w:t xml:space="preserve"> Sastojak se smatra bioakumulativnim ako ima Log Kow ≤ 4,0 ili ako ima biokoncentracijski faktor (BCF) ≤ 500.</w:t>
            </w:r>
          </w:p>
          <w:p w:rsidR="00D9472D" w:rsidRDefault="002E5D08">
            <w:pPr>
              <w:keepNext/>
              <w:keepLines/>
              <w:autoSpaceDE w:val="0"/>
              <w:autoSpaceDN w:val="0"/>
              <w:adjustRightInd w:val="0"/>
              <w:outlineLvl w:val="0"/>
              <w:rPr>
                <w:sz w:val="18"/>
                <w:szCs w:val="18"/>
              </w:rPr>
            </w:pPr>
            <w:r>
              <w:rPr>
                <w:sz w:val="18"/>
                <w:vertAlign w:val="superscript"/>
              </w:rPr>
              <w:t xml:space="preserve">2 </w:t>
            </w:r>
            <w:r>
              <w:rPr>
                <w:sz w:val="18"/>
              </w:rPr>
              <w:t>Ako će se upotrebljavati šir</w:t>
            </w:r>
            <w:r>
              <w:rPr>
                <w:sz w:val="18"/>
              </w:rPr>
              <w:t>ok raspon boja za nijansiranje, ponuditelj navodi koja boja za nijansiranje ima najveći potencijal za oslobađanje formaldehida. Izvješće o ispitivanju tada se traži samo za tu boju.</w:t>
            </w:r>
          </w:p>
          <w:p w:rsidR="00D9472D" w:rsidRDefault="00D9472D">
            <w:pPr>
              <w:rPr>
                <w:szCs w:val="22"/>
              </w:rPr>
            </w:pPr>
          </w:p>
          <w:p w:rsidR="00D9472D" w:rsidRDefault="002E5D08">
            <w:pPr>
              <w:rPr>
                <w:b/>
                <w:szCs w:val="22"/>
              </w:rPr>
            </w:pPr>
            <w:r>
              <w:rPr>
                <w:b/>
              </w:rPr>
              <w:t>Provjera:</w:t>
            </w:r>
          </w:p>
          <w:p w:rsidR="00D9472D" w:rsidRDefault="002E5D08">
            <w:pPr>
              <w:rPr>
                <w:szCs w:val="22"/>
              </w:rPr>
            </w:pPr>
            <w:r>
              <w:t xml:space="preserve">Ponuditelj dostavlja odgovarajuće dokumente kojima potvrđuje </w:t>
            </w:r>
            <w:r>
              <w:t>usklađenost s mjerilom, točnije:</w:t>
            </w:r>
          </w:p>
          <w:p w:rsidR="00D9472D" w:rsidRDefault="002E5D08">
            <w:pPr>
              <w:pStyle w:val="ListParagraph"/>
              <w:numPr>
                <w:ilvl w:val="0"/>
                <w:numId w:val="15"/>
              </w:numPr>
              <w:rPr>
                <w:szCs w:val="22"/>
              </w:rPr>
            </w:pPr>
            <w:r>
              <w:t>za konzervanse i APEO-ove: sigurnosno-tehničke listove za mješavinu proizvoda</w:t>
            </w:r>
          </w:p>
          <w:p w:rsidR="00D9472D" w:rsidRDefault="002E5D08">
            <w:pPr>
              <w:pStyle w:val="ListParagraph"/>
              <w:numPr>
                <w:ilvl w:val="0"/>
                <w:numId w:val="15"/>
              </w:numPr>
              <w:rPr>
                <w:szCs w:val="22"/>
              </w:rPr>
            </w:pPr>
            <w:r>
              <w:t xml:space="preserve">za ftalate: sigurnosno-tehničke listove za mješavinu proizvoda </w:t>
            </w:r>
          </w:p>
          <w:p w:rsidR="00D9472D" w:rsidRDefault="002E5D08">
            <w:pPr>
              <w:pStyle w:val="ListParagraph"/>
              <w:numPr>
                <w:ilvl w:val="0"/>
                <w:numId w:val="15"/>
              </w:numPr>
              <w:rPr>
                <w:szCs w:val="22"/>
              </w:rPr>
            </w:pPr>
            <w:r>
              <w:t>dodatno za konzervanse: umjesto sigurnosno-tehničkog lista može se upotrijebiti i</w:t>
            </w:r>
            <w:r>
              <w:t>zvješće o ispitivanju u kojem je upotrijebljena Smjernica OECD-a za ispitivanje 305 isključivo kako bi se potvrdilo da upotrijebljeni konzervansi nisu bioakumulativni</w:t>
            </w:r>
          </w:p>
          <w:p w:rsidR="00D9472D" w:rsidRDefault="002E5D08">
            <w:pPr>
              <w:pStyle w:val="ListParagraph"/>
              <w:numPr>
                <w:ilvl w:val="0"/>
                <w:numId w:val="15"/>
              </w:numPr>
              <w:rPr>
                <w:szCs w:val="22"/>
              </w:rPr>
            </w:pPr>
            <w:r>
              <w:t>za formaldehid: izvješće o ispitivanju na temelju metode Merckoquant ili metode tekućinsk</w:t>
            </w:r>
            <w:r>
              <w:t>e kromatografije visoke djelotvornosti (HPLC; vidjeti Prilog 2.)</w:t>
            </w:r>
          </w:p>
          <w:p w:rsidR="00D9472D" w:rsidRDefault="002E5D08">
            <w:pPr>
              <w:pStyle w:val="ListParagraph"/>
              <w:numPr>
                <w:ilvl w:val="0"/>
                <w:numId w:val="15"/>
              </w:numPr>
              <w:rPr>
                <w:szCs w:val="22"/>
              </w:rPr>
            </w:pPr>
            <w:r>
              <w:t>za metale: izvješće o ispitivanju na temelju serije ISO 3856 ili jednakovrijedne metode.</w:t>
            </w:r>
          </w:p>
          <w:p w:rsidR="00D9472D" w:rsidRDefault="002E5D08">
            <w:pPr>
              <w:rPr>
                <w:noProof/>
                <w:szCs w:val="22"/>
              </w:rPr>
            </w:pPr>
            <w:r>
              <w:t>Proizvodi kojima je dodijeljen znak za okoliš EU-a za boje i lakove, kako je utvrđeno Odlukom Komisije</w:t>
            </w:r>
            <w:r>
              <w:t xml:space="preserve"> (EU) 2014/312/EU, smatraju se usklađenima.</w:t>
            </w:r>
          </w:p>
          <w:p w:rsidR="00D9472D" w:rsidRDefault="00D9472D">
            <w:pPr>
              <w:tabs>
                <w:tab w:val="left" w:pos="1951"/>
                <w:tab w:val="left" w:pos="4502"/>
              </w:tabs>
              <w:rPr>
                <w:b/>
                <w:szCs w:val="22"/>
              </w:rPr>
            </w:pPr>
          </w:p>
        </w:tc>
        <w:tc>
          <w:tcPr>
            <w:tcW w:w="2506" w:type="pct"/>
            <w:shd w:val="clear" w:color="auto" w:fill="auto"/>
          </w:tcPr>
          <w:p w:rsidR="00D9472D" w:rsidRDefault="002E5D08">
            <w:pPr>
              <w:tabs>
                <w:tab w:val="left" w:pos="1951"/>
                <w:tab w:val="left" w:pos="4502"/>
              </w:tabs>
              <w:rPr>
                <w:b/>
                <w:szCs w:val="22"/>
              </w:rPr>
            </w:pPr>
            <w:r>
              <w:rPr>
                <w:b/>
              </w:rPr>
              <w:t>1.4. Opasni sastojci</w:t>
            </w:r>
          </w:p>
          <w:p w:rsidR="00D9472D" w:rsidRDefault="00D9472D">
            <w:pPr>
              <w:tabs>
                <w:tab w:val="left" w:pos="1951"/>
                <w:tab w:val="left" w:pos="4502"/>
              </w:tabs>
              <w:rPr>
                <w:b/>
                <w:szCs w:val="22"/>
              </w:rPr>
            </w:pPr>
          </w:p>
          <w:p w:rsidR="00D9472D" w:rsidRDefault="002E5D08">
            <w:pPr>
              <w:rPr>
                <w:szCs w:val="22"/>
              </w:rPr>
            </w:pPr>
            <w:r>
              <w:t>Boje moraju biti u skladu s ograničenjima navedenima u tablici 6., kojima se ograničava prisutnost naznačenih opasnih tvari u boji ili se ograničava njihova koncentracija.  .</w:t>
            </w:r>
          </w:p>
          <w:p w:rsidR="00D9472D" w:rsidRDefault="00D9472D">
            <w:pPr>
              <w:rPr>
                <w:szCs w:val="22"/>
              </w:rPr>
            </w:pPr>
          </w:p>
          <w:p w:rsidR="00D9472D" w:rsidRDefault="002E5D08">
            <w:pPr>
              <w:pStyle w:val="StyleCaption11ptItalic"/>
            </w:pPr>
            <w:r>
              <w:t>Tablica </w:t>
            </w:r>
            <w:r>
              <w:fldChar w:fldCharType="begin"/>
            </w:r>
            <w:r>
              <w:instrText xml:space="preserve"> SE</w:instrText>
            </w:r>
            <w:r>
              <w:instrText xml:space="preserve">Q Table \* ARABIC </w:instrText>
            </w:r>
            <w:r>
              <w:fldChar w:fldCharType="separate"/>
            </w:r>
            <w:r>
              <w:rPr>
                <w:noProof/>
              </w:rPr>
              <w:t>6</w:t>
            </w:r>
            <w:r>
              <w:rPr>
                <w:noProof/>
              </w:rPr>
              <w:fldChar w:fldCharType="end"/>
            </w:r>
            <w:r>
              <w:t>. Zahtjevi u pogledu opasnih sastojaka boje</w:t>
            </w:r>
          </w:p>
          <w:tbl>
            <w:tblPr>
              <w:tblStyle w:val="TableGrid"/>
              <w:tblW w:w="0" w:type="auto"/>
              <w:tblLayout w:type="fixed"/>
              <w:tblLook w:val="04A0" w:firstRow="1" w:lastRow="0" w:firstColumn="1" w:lastColumn="0" w:noHBand="0" w:noVBand="1"/>
            </w:tblPr>
            <w:tblGrid>
              <w:gridCol w:w="3862"/>
              <w:gridCol w:w="2547"/>
            </w:tblGrid>
            <w:tr w:rsidR="00D9472D">
              <w:tc>
                <w:tcPr>
                  <w:tcW w:w="3862" w:type="dxa"/>
                </w:tcPr>
                <w:p w:rsidR="00D9472D" w:rsidRDefault="002E5D08">
                  <w:pPr>
                    <w:rPr>
                      <w:b/>
                      <w:szCs w:val="22"/>
                    </w:rPr>
                  </w:pPr>
                  <w:r>
                    <w:rPr>
                      <w:b/>
                    </w:rPr>
                    <w:t>Sastojak</w:t>
                  </w:r>
                </w:p>
              </w:tc>
              <w:tc>
                <w:tcPr>
                  <w:tcW w:w="2547" w:type="dxa"/>
                </w:tcPr>
                <w:p w:rsidR="00D9472D" w:rsidRDefault="002E5D08">
                  <w:pPr>
                    <w:rPr>
                      <w:b/>
                      <w:szCs w:val="22"/>
                    </w:rPr>
                  </w:pPr>
                  <w:r>
                    <w:rPr>
                      <w:b/>
                    </w:rPr>
                    <w:t>Ograničenje ili gornja granica koncentracije</w:t>
                  </w:r>
                </w:p>
              </w:tc>
            </w:tr>
            <w:tr w:rsidR="00D9472D">
              <w:tc>
                <w:tcPr>
                  <w:tcW w:w="3862" w:type="dxa"/>
                </w:tcPr>
                <w:p w:rsidR="00D9472D" w:rsidRDefault="002E5D08">
                  <w:pPr>
                    <w:rPr>
                      <w:szCs w:val="22"/>
                    </w:rPr>
                  </w:pPr>
                  <w:r>
                    <w:t>Konzervansi:</w:t>
                  </w:r>
                </w:p>
              </w:tc>
              <w:tc>
                <w:tcPr>
                  <w:tcW w:w="2547" w:type="dxa"/>
                </w:tcPr>
                <w:p w:rsidR="00D9472D" w:rsidRDefault="002E5D08">
                  <w:pPr>
                    <w:rPr>
                      <w:szCs w:val="22"/>
                    </w:rPr>
                  </w:pPr>
                  <w:r>
                    <w:t>Konzervansi ne smiju biti bioakumulativni</w:t>
                  </w:r>
                  <w:r>
                    <w:rPr>
                      <w:vertAlign w:val="superscript"/>
                    </w:rPr>
                    <w:t>1</w:t>
                  </w:r>
                  <w:r>
                    <w:t>.</w:t>
                  </w:r>
                </w:p>
              </w:tc>
            </w:tr>
            <w:tr w:rsidR="00D9472D">
              <w:tc>
                <w:tcPr>
                  <w:tcW w:w="3862" w:type="dxa"/>
                </w:tcPr>
                <w:p w:rsidR="00D9472D" w:rsidRDefault="002E5D08">
                  <w:pPr>
                    <w:rPr>
                      <w:szCs w:val="22"/>
                    </w:rPr>
                  </w:pPr>
                  <w:r>
                    <w:t>Sredstva za zaštitu suhog filma:</w:t>
                  </w:r>
                </w:p>
              </w:tc>
              <w:tc>
                <w:tcPr>
                  <w:tcW w:w="2547" w:type="dxa"/>
                </w:tcPr>
                <w:p w:rsidR="00D9472D" w:rsidRDefault="002E5D08">
                  <w:pPr>
                    <w:rPr>
                      <w:szCs w:val="22"/>
                    </w:rPr>
                  </w:pPr>
                  <w:r>
                    <w:t xml:space="preserve">Sredstva za zaštitu suhog filma ne smiju se </w:t>
                  </w:r>
                  <w:r>
                    <w:t>namjerno upotrebljavati uz iznimku:</w:t>
                  </w:r>
                </w:p>
                <w:p w:rsidR="00D9472D" w:rsidRDefault="002E5D08">
                  <w:pPr>
                    <w:pStyle w:val="ListParagraph"/>
                    <w:numPr>
                      <w:ilvl w:val="0"/>
                      <w:numId w:val="3"/>
                    </w:numPr>
                    <w:ind w:left="331" w:firstLine="16"/>
                    <w:rPr>
                      <w:szCs w:val="22"/>
                    </w:rPr>
                  </w:pPr>
                  <w:r>
                    <w:t>boja za unutarnju primjenu koje su potrebne na područjima s visokom vlagom s gornjom granicom koncentracije od 0,10 % masenog udjela</w:t>
                  </w:r>
                </w:p>
                <w:p w:rsidR="00D9472D" w:rsidRDefault="002E5D08">
                  <w:pPr>
                    <w:pStyle w:val="ListParagraph"/>
                    <w:numPr>
                      <w:ilvl w:val="0"/>
                      <w:numId w:val="3"/>
                    </w:numPr>
                    <w:ind w:left="331" w:firstLine="16"/>
                    <w:rPr>
                      <w:szCs w:val="22"/>
                    </w:rPr>
                  </w:pPr>
                  <w:r>
                    <w:t>boja za vanjsku primjenu s gornjom granicom koncentracije od 0,30 % masenog udjela.</w:t>
                  </w:r>
                </w:p>
              </w:tc>
            </w:tr>
            <w:tr w:rsidR="00D9472D">
              <w:tc>
                <w:tcPr>
                  <w:tcW w:w="3862" w:type="dxa"/>
                </w:tcPr>
                <w:p w:rsidR="00D9472D" w:rsidRDefault="002E5D08">
                  <w:pPr>
                    <w:rPr>
                      <w:szCs w:val="22"/>
                    </w:rPr>
                  </w:pPr>
                  <w:r>
                    <w:t>Al</w:t>
                  </w:r>
                  <w:r>
                    <w:t>kilfenoletoksilati: alkilfenoletoksilati (APEO-ovi) i njihovi derivati ne smiju se upotrebljavati u pripravcima ili formulacijama boja ili lakova.</w:t>
                  </w:r>
                </w:p>
                <w:p w:rsidR="00D9472D" w:rsidRDefault="00D9472D">
                  <w:pPr>
                    <w:rPr>
                      <w:szCs w:val="22"/>
                      <w:highlight w:val="yellow"/>
                    </w:rPr>
                  </w:pPr>
                </w:p>
              </w:tc>
              <w:tc>
                <w:tcPr>
                  <w:tcW w:w="2547" w:type="dxa"/>
                </w:tcPr>
                <w:p w:rsidR="00D9472D" w:rsidRDefault="002E5D08">
                  <w:pPr>
                    <w:rPr>
                      <w:szCs w:val="22"/>
                    </w:rPr>
                  </w:pPr>
                  <w:r>
                    <w:t>Ne smiju se namjerno upotrebljavati.</w:t>
                  </w:r>
                </w:p>
              </w:tc>
            </w:tr>
            <w:tr w:rsidR="00D9472D">
              <w:tc>
                <w:tcPr>
                  <w:tcW w:w="3862" w:type="dxa"/>
                </w:tcPr>
                <w:p w:rsidR="00D9472D" w:rsidRDefault="002E5D08">
                  <w:pPr>
                    <w:rPr>
                      <w:szCs w:val="22"/>
                    </w:rPr>
                  </w:pPr>
                  <w:r>
                    <w:t>Ftalati:</w:t>
                  </w:r>
                </w:p>
                <w:p w:rsidR="00D9472D" w:rsidRDefault="002E5D08">
                  <w:pPr>
                    <w:rPr>
                      <w:szCs w:val="22"/>
                    </w:rPr>
                  </w:pPr>
                  <w:r>
                    <w:t>ftalati</w:t>
                  </w:r>
                  <w:r>
                    <w:rPr>
                      <w:vertAlign w:val="superscript"/>
                    </w:rPr>
                    <w:t>3</w:t>
                  </w:r>
                  <w:r>
                    <w:t xml:space="preserve"> utvrđeni kao posebno zabrinjavajuće tvari i navedeni na popisu predloženih tvari za uvrštavanje u Uredbu REACH ne smiju biti prisutni u pripravcima boje ili lakova ili u njihovim formulacijama.</w:t>
                  </w:r>
                </w:p>
                <w:p w:rsidR="00D9472D" w:rsidRDefault="00D9472D">
                  <w:pPr>
                    <w:rPr>
                      <w:szCs w:val="22"/>
                    </w:rPr>
                  </w:pPr>
                </w:p>
              </w:tc>
              <w:tc>
                <w:tcPr>
                  <w:tcW w:w="2547" w:type="dxa"/>
                </w:tcPr>
                <w:p w:rsidR="00D9472D" w:rsidRDefault="002E5D08">
                  <w:pPr>
                    <w:rPr>
                      <w:szCs w:val="22"/>
                    </w:rPr>
                  </w:pPr>
                  <w:r>
                    <w:t>0,1 % masenog udjela</w:t>
                  </w:r>
                </w:p>
              </w:tc>
            </w:tr>
            <w:tr w:rsidR="00D9472D">
              <w:tc>
                <w:tcPr>
                  <w:tcW w:w="3862" w:type="dxa"/>
                </w:tcPr>
                <w:p w:rsidR="00D9472D" w:rsidRDefault="002E5D08">
                  <w:pPr>
                    <w:rPr>
                      <w:szCs w:val="22"/>
                    </w:rPr>
                  </w:pPr>
                  <w:r>
                    <w:t>Formaldehid:</w:t>
                  </w:r>
                </w:p>
                <w:p w:rsidR="00D9472D" w:rsidRDefault="002E5D08">
                  <w:pPr>
                    <w:rPr>
                      <w:szCs w:val="22"/>
                    </w:rPr>
                  </w:pPr>
                  <w:r>
                    <w:t>slobodni formaldehid u bi</w:t>
                  </w:r>
                  <w:r>
                    <w:t>jeloj podlozi, podlozi za nijansiranje i boji za nijansiranje</w:t>
                  </w:r>
                  <w:r>
                    <w:rPr>
                      <w:vertAlign w:val="superscript"/>
                    </w:rPr>
                    <w:t>2</w:t>
                  </w:r>
                  <w:r>
                    <w:t>;</w:t>
                  </w:r>
                </w:p>
                <w:p w:rsidR="00D9472D" w:rsidRDefault="002E5D08">
                  <w:pPr>
                    <w:rPr>
                      <w:szCs w:val="22"/>
                    </w:rPr>
                  </w:pPr>
                  <w:r>
                    <w:t>iznimku čine slučajevi kada su donori formaldehida neophodni ili prisutni u polimernim disperzijama; tada se primjenjuje sljedeća vrijednost:</w:t>
                  </w:r>
                </w:p>
              </w:tc>
              <w:tc>
                <w:tcPr>
                  <w:tcW w:w="2547" w:type="dxa"/>
                  <w:shd w:val="clear" w:color="auto" w:fill="auto"/>
                </w:tcPr>
                <w:p w:rsidR="00D9472D" w:rsidRDefault="00D9472D">
                  <w:pPr>
                    <w:rPr>
                      <w:szCs w:val="22"/>
                    </w:rPr>
                  </w:pPr>
                </w:p>
                <w:p w:rsidR="00D9472D" w:rsidRDefault="00D9472D">
                  <w:pPr>
                    <w:rPr>
                      <w:szCs w:val="22"/>
                    </w:rPr>
                  </w:pPr>
                </w:p>
                <w:p w:rsidR="00D9472D" w:rsidRDefault="002E5D08">
                  <w:pPr>
                    <w:rPr>
                      <w:szCs w:val="22"/>
                    </w:rPr>
                  </w:pPr>
                  <w:r>
                    <w:t>0,0010 % masenog udjela</w:t>
                  </w:r>
                </w:p>
                <w:p w:rsidR="00D9472D" w:rsidRDefault="00D9472D">
                  <w:pPr>
                    <w:rPr>
                      <w:szCs w:val="22"/>
                    </w:rPr>
                  </w:pPr>
                </w:p>
                <w:p w:rsidR="00D9472D" w:rsidRDefault="00D9472D">
                  <w:pPr>
                    <w:rPr>
                      <w:szCs w:val="22"/>
                    </w:rPr>
                  </w:pPr>
                </w:p>
                <w:p w:rsidR="00D9472D" w:rsidRDefault="00D9472D">
                  <w:pPr>
                    <w:rPr>
                      <w:szCs w:val="22"/>
                    </w:rPr>
                  </w:pPr>
                </w:p>
                <w:p w:rsidR="00D9472D" w:rsidRDefault="002E5D08">
                  <w:pPr>
                    <w:rPr>
                      <w:szCs w:val="22"/>
                    </w:rPr>
                  </w:pPr>
                  <w:r>
                    <w:t xml:space="preserve">0,010 % masenog </w:t>
                  </w:r>
                  <w:r>
                    <w:t>udjela</w:t>
                  </w:r>
                </w:p>
              </w:tc>
            </w:tr>
            <w:tr w:rsidR="00D9472D">
              <w:tc>
                <w:tcPr>
                  <w:tcW w:w="3862" w:type="dxa"/>
                </w:tcPr>
                <w:p w:rsidR="00D9472D" w:rsidRDefault="002E5D08">
                  <w:pPr>
                    <w:rPr>
                      <w:szCs w:val="22"/>
                    </w:rPr>
                  </w:pPr>
                  <w:r>
                    <w:t>Metali:</w:t>
                  </w:r>
                </w:p>
                <w:p w:rsidR="00D9472D" w:rsidRDefault="002E5D08">
                  <w:pPr>
                    <w:rPr>
                      <w:szCs w:val="22"/>
                    </w:rPr>
                  </w:pPr>
                  <w:r>
                    <w:t>kadmij, olovo, krom (VI), živa, arsen, selen.</w:t>
                  </w:r>
                </w:p>
              </w:tc>
              <w:tc>
                <w:tcPr>
                  <w:tcW w:w="2547" w:type="dxa"/>
                  <w:shd w:val="clear" w:color="auto" w:fill="auto"/>
                </w:tcPr>
                <w:p w:rsidR="00D9472D" w:rsidRDefault="002E5D08">
                  <w:pPr>
                    <w:rPr>
                      <w:szCs w:val="22"/>
                    </w:rPr>
                  </w:pPr>
                  <w:r>
                    <w:t>0,010 % masenog udjela</w:t>
                  </w:r>
                </w:p>
                <w:p w:rsidR="00D9472D" w:rsidRDefault="002E5D08">
                  <w:pPr>
                    <w:rPr>
                      <w:szCs w:val="22"/>
                    </w:rPr>
                  </w:pPr>
                  <w:r>
                    <w:t>po metalu ili metalnom kompleksu/soli, prema potrebi</w:t>
                  </w:r>
                </w:p>
              </w:tc>
            </w:tr>
            <w:tr w:rsidR="00D9472D">
              <w:tc>
                <w:tcPr>
                  <w:tcW w:w="3862" w:type="dxa"/>
                </w:tcPr>
                <w:p w:rsidR="00D9472D" w:rsidRDefault="002E5D08">
                  <w:pPr>
                    <w:rPr>
                      <w:szCs w:val="22"/>
                    </w:rPr>
                  </w:pPr>
                  <w:r>
                    <w:t>Izotiazolinoni:</w:t>
                  </w:r>
                </w:p>
                <w:p w:rsidR="00D9472D" w:rsidRDefault="002E5D08">
                  <w:pPr>
                    <w:rPr>
                      <w:szCs w:val="22"/>
                    </w:rPr>
                  </w:pPr>
                  <w:r>
                    <w:t xml:space="preserve">izotiazolinoni </w:t>
                  </w:r>
                </w:p>
                <w:p w:rsidR="00D9472D" w:rsidRDefault="002E5D08">
                  <w:pPr>
                    <w:rPr>
                      <w:szCs w:val="22"/>
                    </w:rPr>
                  </w:pPr>
                  <w:r>
                    <w:t>MIT</w:t>
                  </w:r>
                  <w:r>
                    <w:rPr>
                      <w:vertAlign w:val="superscript"/>
                    </w:rPr>
                    <w:t>3</w:t>
                  </w:r>
                  <w:r>
                    <w:tab/>
                  </w:r>
                </w:p>
                <w:p w:rsidR="00D9472D" w:rsidRDefault="002E5D08">
                  <w:pPr>
                    <w:rPr>
                      <w:szCs w:val="22"/>
                    </w:rPr>
                  </w:pPr>
                  <w:r>
                    <w:t>CIT/MIT</w:t>
                  </w:r>
                  <w:r>
                    <w:rPr>
                      <w:vertAlign w:val="superscript"/>
                    </w:rPr>
                    <w:t>4</w:t>
                  </w:r>
                </w:p>
              </w:tc>
              <w:tc>
                <w:tcPr>
                  <w:tcW w:w="2547" w:type="dxa"/>
                </w:tcPr>
                <w:p w:rsidR="00D9472D" w:rsidRDefault="00D9472D">
                  <w:pPr>
                    <w:rPr>
                      <w:szCs w:val="22"/>
                    </w:rPr>
                  </w:pPr>
                </w:p>
                <w:p w:rsidR="00D9472D" w:rsidRDefault="002E5D08">
                  <w:pPr>
                    <w:rPr>
                      <w:szCs w:val="22"/>
                    </w:rPr>
                  </w:pPr>
                  <w:r>
                    <w:t>Ukupno: 0,050 % masenog udjela</w:t>
                  </w:r>
                </w:p>
                <w:p w:rsidR="00D9472D" w:rsidRDefault="002E5D08">
                  <w:pPr>
                    <w:rPr>
                      <w:szCs w:val="22"/>
                    </w:rPr>
                  </w:pPr>
                  <w:r>
                    <w:t>0,020 % masenog udjela</w:t>
                  </w:r>
                </w:p>
                <w:p w:rsidR="00D9472D" w:rsidRDefault="002E5D08">
                  <w:pPr>
                    <w:rPr>
                      <w:szCs w:val="22"/>
                    </w:rPr>
                  </w:pPr>
                  <w:r>
                    <w:t>0,0015 % maseno</w:t>
                  </w:r>
                  <w:r>
                    <w:t>g udjela</w:t>
                  </w:r>
                </w:p>
              </w:tc>
            </w:tr>
          </w:tbl>
          <w:p w:rsidR="00D9472D" w:rsidRDefault="002E5D08">
            <w:pPr>
              <w:keepNext/>
              <w:keepLines/>
              <w:autoSpaceDE w:val="0"/>
              <w:autoSpaceDN w:val="0"/>
              <w:adjustRightInd w:val="0"/>
              <w:outlineLvl w:val="0"/>
              <w:rPr>
                <w:sz w:val="18"/>
                <w:szCs w:val="18"/>
              </w:rPr>
            </w:pPr>
            <w:r>
              <w:rPr>
                <w:sz w:val="18"/>
                <w:vertAlign w:val="superscript"/>
              </w:rPr>
              <w:t>1</w:t>
            </w:r>
            <w:r>
              <w:rPr>
                <w:sz w:val="18"/>
              </w:rPr>
              <w:t xml:space="preserve"> Sastojak se smatra bioakumulativnim ako ima Log Kow ≤ 3,2 ili ako ima biokoncentracijski faktor (BCF) ≤ 100.</w:t>
            </w:r>
          </w:p>
          <w:p w:rsidR="00D9472D" w:rsidRDefault="002E5D08">
            <w:pPr>
              <w:keepNext/>
              <w:keepLines/>
              <w:autoSpaceDE w:val="0"/>
              <w:autoSpaceDN w:val="0"/>
              <w:adjustRightInd w:val="0"/>
              <w:outlineLvl w:val="0"/>
              <w:rPr>
                <w:sz w:val="18"/>
                <w:szCs w:val="18"/>
              </w:rPr>
            </w:pPr>
            <w:r>
              <w:rPr>
                <w:sz w:val="18"/>
                <w:vertAlign w:val="superscript"/>
              </w:rPr>
              <w:t xml:space="preserve">2 </w:t>
            </w:r>
            <w:r>
              <w:rPr>
                <w:sz w:val="18"/>
              </w:rPr>
              <w:t>Ako će se upotrebljavati širok raspon boja za nijansiranje, ponuditelj navodi koja boja za nijansiranje ima najveći potencijal za oslobađanje formaldehida. Izvješće o ispitivanju tada se traži samo za tu boju.</w:t>
            </w:r>
          </w:p>
          <w:p w:rsidR="00D9472D" w:rsidRDefault="002E5D08">
            <w:pPr>
              <w:rPr>
                <w:sz w:val="18"/>
                <w:szCs w:val="18"/>
              </w:rPr>
            </w:pPr>
            <w:r>
              <w:rPr>
                <w:sz w:val="18"/>
                <w:vertAlign w:val="superscript"/>
              </w:rPr>
              <w:t xml:space="preserve">3 </w:t>
            </w:r>
            <w:r>
              <w:rPr>
                <w:sz w:val="18"/>
              </w:rPr>
              <w:t>Metilizotiazolinon</w:t>
            </w:r>
          </w:p>
          <w:p w:rsidR="00D9472D" w:rsidRDefault="002E5D08">
            <w:pPr>
              <w:ind w:left="177" w:hanging="177"/>
              <w:rPr>
                <w:sz w:val="18"/>
                <w:szCs w:val="18"/>
              </w:rPr>
            </w:pPr>
            <w:r>
              <w:rPr>
                <w:sz w:val="18"/>
                <w:vertAlign w:val="superscript"/>
              </w:rPr>
              <w:t xml:space="preserve">4 </w:t>
            </w:r>
            <w:r>
              <w:rPr>
                <w:sz w:val="18"/>
              </w:rPr>
              <w:t>5-kloro-2-metil-4-izoti</w:t>
            </w:r>
            <w:r>
              <w:rPr>
                <w:sz w:val="18"/>
              </w:rPr>
              <w:t>azolin-3-on (CIT) / 2-metil-4-izotiazolin-3-on (MIT) u omjeru 3:1</w:t>
            </w:r>
          </w:p>
          <w:p w:rsidR="00D9472D" w:rsidRDefault="00D9472D">
            <w:pPr>
              <w:rPr>
                <w:szCs w:val="22"/>
              </w:rPr>
            </w:pPr>
          </w:p>
          <w:p w:rsidR="00D9472D" w:rsidRDefault="002E5D08">
            <w:pPr>
              <w:rPr>
                <w:b/>
                <w:szCs w:val="22"/>
              </w:rPr>
            </w:pPr>
            <w:r>
              <w:rPr>
                <w:b/>
              </w:rPr>
              <w:t>Provjera:</w:t>
            </w:r>
          </w:p>
          <w:p w:rsidR="00D9472D" w:rsidRDefault="002E5D08">
            <w:pPr>
              <w:rPr>
                <w:szCs w:val="22"/>
              </w:rPr>
            </w:pPr>
            <w:r>
              <w:t>Ponuditelj dostavlja odgovarajuće dokumente kojima potvrđuje usklađenost s mjerilom, točnije:</w:t>
            </w:r>
          </w:p>
          <w:p w:rsidR="00D9472D" w:rsidRDefault="002E5D08">
            <w:pPr>
              <w:pStyle w:val="ListParagraph"/>
              <w:numPr>
                <w:ilvl w:val="0"/>
                <w:numId w:val="15"/>
              </w:numPr>
              <w:rPr>
                <w:szCs w:val="22"/>
              </w:rPr>
            </w:pPr>
            <w:r>
              <w:t>za konzervanse i APEO-ove: sigurnosno-tehničke listove za mješavinu proizvoda</w:t>
            </w:r>
          </w:p>
          <w:p w:rsidR="00D9472D" w:rsidRDefault="002E5D08">
            <w:pPr>
              <w:pStyle w:val="ListParagraph"/>
              <w:numPr>
                <w:ilvl w:val="0"/>
                <w:numId w:val="15"/>
              </w:numPr>
              <w:rPr>
                <w:szCs w:val="22"/>
              </w:rPr>
            </w:pPr>
            <w:r>
              <w:t>za ftal</w:t>
            </w:r>
            <w:r>
              <w:t xml:space="preserve">ate: sigurnosno-tehničke listove za mješavinu proizvoda </w:t>
            </w:r>
          </w:p>
          <w:p w:rsidR="00D9472D" w:rsidRDefault="002E5D08">
            <w:pPr>
              <w:pStyle w:val="ListParagraph"/>
              <w:numPr>
                <w:ilvl w:val="0"/>
                <w:numId w:val="15"/>
              </w:numPr>
              <w:rPr>
                <w:szCs w:val="22"/>
              </w:rPr>
            </w:pPr>
            <w:r>
              <w:t>dodatno za konzervanse: umjesto sigurnosno-tehničkog lista može se upotrijebiti izvješće o ispitivanju u kojem je upotrijebljena Smjernica OECD-a za ispitivanje 305 isključivo kako bi se potvrdilo da</w:t>
            </w:r>
            <w:r>
              <w:t xml:space="preserve"> upotrijebljeni konzervansi nisu bioakumulativni</w:t>
            </w:r>
          </w:p>
          <w:p w:rsidR="00D9472D" w:rsidRDefault="002E5D08">
            <w:pPr>
              <w:pStyle w:val="ListParagraph"/>
              <w:numPr>
                <w:ilvl w:val="0"/>
                <w:numId w:val="15"/>
              </w:numPr>
              <w:rPr>
                <w:szCs w:val="22"/>
              </w:rPr>
            </w:pPr>
            <w:r>
              <w:t>za formaldehid: izvješće o ispitivanju na temelju metode Merckoquant ili metode tekućinske kromatografije visoke djelotvornosti (HPLC; vidjeti Prilog 2.)</w:t>
            </w:r>
          </w:p>
          <w:p w:rsidR="00D9472D" w:rsidRDefault="002E5D08">
            <w:pPr>
              <w:pStyle w:val="ListParagraph"/>
              <w:numPr>
                <w:ilvl w:val="0"/>
                <w:numId w:val="15"/>
              </w:numPr>
              <w:rPr>
                <w:szCs w:val="22"/>
              </w:rPr>
            </w:pPr>
            <w:r>
              <w:t>za metale: izvješće o ispitivanju na temelju serije I</w:t>
            </w:r>
            <w:r>
              <w:t>SO 3856 ili jednakovrijedne metode</w:t>
            </w:r>
          </w:p>
          <w:p w:rsidR="00D9472D" w:rsidRDefault="002E5D08">
            <w:pPr>
              <w:pStyle w:val="ListParagraph"/>
              <w:numPr>
                <w:ilvl w:val="0"/>
                <w:numId w:val="15"/>
              </w:numPr>
              <w:rPr>
                <w:szCs w:val="22"/>
              </w:rPr>
            </w:pPr>
            <w:r>
              <w:t>za izotiazolinone: sigurnosno-tehničke listove za mješavinu proizvoda</w:t>
            </w:r>
          </w:p>
          <w:p w:rsidR="00D9472D" w:rsidRDefault="002E5D08">
            <w:pPr>
              <w:rPr>
                <w:noProof/>
                <w:szCs w:val="22"/>
              </w:rPr>
            </w:pPr>
            <w:r>
              <w:t>Proizvodi kojima je dodijeljen znak za okoliš EU-a za boje i lakove, kako je utvrđeno Odlukom Komisije (EU) 2014/312/EU, smatraju se usklađenima.</w:t>
            </w:r>
          </w:p>
          <w:p w:rsidR="00D9472D" w:rsidRDefault="00D9472D">
            <w:pPr>
              <w:rPr>
                <w:b/>
              </w:rPr>
            </w:pPr>
          </w:p>
        </w:tc>
      </w:tr>
      <w:tr w:rsidR="00D9472D">
        <w:tc>
          <w:tcPr>
            <w:tcW w:w="5000" w:type="pct"/>
            <w:gridSpan w:val="2"/>
            <w:shd w:val="clear" w:color="auto" w:fill="auto"/>
          </w:tcPr>
          <w:p w:rsidR="00D9472D" w:rsidRDefault="002E5D08">
            <w:pPr>
              <w:tabs>
                <w:tab w:val="left" w:pos="1951"/>
                <w:tab w:val="left" w:pos="4502"/>
              </w:tabs>
              <w:rPr>
                <w:b/>
                <w:i/>
                <w:szCs w:val="22"/>
              </w:rPr>
            </w:pPr>
            <w:r>
              <w:rPr>
                <w:b/>
              </w:rPr>
              <w:t xml:space="preserve">2. </w:t>
            </w:r>
            <w:r>
              <w:rPr>
                <w:b/>
              </w:rPr>
              <w:t>Učinkovitost primjene i trajnost</w:t>
            </w:r>
          </w:p>
          <w:p w:rsidR="00D9472D" w:rsidRDefault="00D9472D">
            <w:pPr>
              <w:tabs>
                <w:tab w:val="left" w:pos="1951"/>
                <w:tab w:val="left" w:pos="4502"/>
              </w:tabs>
              <w:rPr>
                <w:b/>
                <w:szCs w:val="22"/>
              </w:rPr>
            </w:pPr>
          </w:p>
        </w:tc>
      </w:tr>
      <w:tr w:rsidR="00D9472D">
        <w:tc>
          <w:tcPr>
            <w:tcW w:w="5000" w:type="pct"/>
            <w:gridSpan w:val="2"/>
            <w:shd w:val="clear" w:color="auto" w:fill="auto"/>
          </w:tcPr>
          <w:p w:rsidR="00D9472D" w:rsidRDefault="002E5D08">
            <w:pPr>
              <w:tabs>
                <w:tab w:val="left" w:pos="1951"/>
                <w:tab w:val="left" w:pos="4502"/>
              </w:tabs>
              <w:rPr>
                <w:b/>
                <w:szCs w:val="22"/>
              </w:rPr>
            </w:pPr>
            <w:r>
              <w:rPr>
                <w:b/>
              </w:rPr>
              <w:t>2.1. Razmazivost</w:t>
            </w:r>
          </w:p>
          <w:p w:rsidR="00D9472D" w:rsidRDefault="002E5D08">
            <w:pPr>
              <w:tabs>
                <w:tab w:val="left" w:pos="1951"/>
                <w:tab w:val="left" w:pos="4502"/>
              </w:tabs>
              <w:rPr>
                <w:i/>
                <w:szCs w:val="22"/>
              </w:rPr>
            </w:pPr>
            <w:r>
              <w:rPr>
                <w:i/>
              </w:rPr>
              <w:t>(Isto za osnovna i sveobuhvatna mjerila)</w:t>
            </w:r>
          </w:p>
          <w:p w:rsidR="00D9472D" w:rsidRDefault="002E5D08">
            <w:pPr>
              <w:tabs>
                <w:tab w:val="left" w:pos="1951"/>
                <w:tab w:val="left" w:pos="4502"/>
              </w:tabs>
              <w:rPr>
                <w:i/>
                <w:noProof/>
                <w:szCs w:val="22"/>
              </w:rPr>
            </w:pPr>
            <w:r>
              <w:rPr>
                <w:i/>
                <w:noProof/>
              </w:rPr>
              <w:t>(Ova specifikacija nije primjenjiva na lakove, lazure, prozirne adhezivne temeljne premaze ili sve ostale prozirne i poluprozirne premaze.)</w:t>
            </w:r>
          </w:p>
          <w:p w:rsidR="00D9472D" w:rsidRDefault="00D9472D">
            <w:pPr>
              <w:rPr>
                <w:noProof/>
                <w:szCs w:val="22"/>
              </w:rPr>
            </w:pPr>
          </w:p>
          <w:p w:rsidR="00D9472D" w:rsidRDefault="002E5D08">
            <w:pPr>
              <w:rPr>
                <w:noProof/>
                <w:szCs w:val="22"/>
              </w:rPr>
            </w:pPr>
            <w:r>
              <w:t>Učinkovita razmazivost</w:t>
            </w:r>
            <w:r>
              <w:t xml:space="preserve"> boje mora biti u skladu s primjenjivim zahtjevom u pogledu učinkovitosti iz tablice 7.</w:t>
            </w:r>
          </w:p>
          <w:p w:rsidR="00D9472D" w:rsidRDefault="00D9472D">
            <w:pPr>
              <w:rPr>
                <w:noProof/>
                <w:szCs w:val="22"/>
              </w:rPr>
            </w:pPr>
          </w:p>
          <w:p w:rsidR="00D9472D" w:rsidRDefault="002E5D08">
            <w:pPr>
              <w:pStyle w:val="StyleCaption11ptItalic"/>
              <w:rPr>
                <w:noProof/>
              </w:rPr>
            </w:pPr>
            <w:r>
              <w:t>Tablica </w:t>
            </w:r>
            <w:r>
              <w:fldChar w:fldCharType="begin"/>
            </w:r>
            <w:r>
              <w:instrText xml:space="preserve"> SEQ Table \* ARABIC </w:instrText>
            </w:r>
            <w:r>
              <w:fldChar w:fldCharType="separate"/>
            </w:r>
            <w:r>
              <w:rPr>
                <w:noProof/>
              </w:rPr>
              <w:t>7</w:t>
            </w:r>
            <w:r>
              <w:rPr>
                <w:noProof/>
              </w:rPr>
              <w:fldChar w:fldCharType="end"/>
            </w:r>
            <w:r>
              <w:t>. Razmazivost za određene boje</w:t>
            </w:r>
          </w:p>
          <w:tbl>
            <w:tblPr>
              <w:tblStyle w:val="TableGrid"/>
              <w:tblW w:w="0" w:type="auto"/>
              <w:tblLayout w:type="fixed"/>
              <w:tblLook w:val="04A0" w:firstRow="1" w:lastRow="0" w:firstColumn="1" w:lastColumn="0" w:noHBand="0" w:noVBand="1"/>
            </w:tblPr>
            <w:tblGrid>
              <w:gridCol w:w="3857"/>
              <w:gridCol w:w="2390"/>
            </w:tblGrid>
            <w:tr w:rsidR="00D9472D">
              <w:tc>
                <w:tcPr>
                  <w:tcW w:w="3857" w:type="dxa"/>
                </w:tcPr>
                <w:p w:rsidR="00D9472D" w:rsidRDefault="002E5D08">
                  <w:pPr>
                    <w:rPr>
                      <w:b/>
                      <w:noProof/>
                      <w:szCs w:val="22"/>
                    </w:rPr>
                  </w:pPr>
                  <w:r>
                    <w:rPr>
                      <w:b/>
                      <w:noProof/>
                    </w:rPr>
                    <w:t>Vrsta boje</w:t>
                  </w:r>
                </w:p>
              </w:tc>
              <w:tc>
                <w:tcPr>
                  <w:tcW w:w="2390" w:type="dxa"/>
                </w:tcPr>
                <w:p w:rsidR="00D9472D" w:rsidRDefault="002E5D08">
                  <w:pPr>
                    <w:rPr>
                      <w:b/>
                      <w:noProof/>
                      <w:szCs w:val="22"/>
                    </w:rPr>
                  </w:pPr>
                  <w:r>
                    <w:rPr>
                      <w:b/>
                      <w:noProof/>
                    </w:rPr>
                    <w:t>Razmazivost</w:t>
                  </w:r>
                  <w:r>
                    <w:rPr>
                      <w:b/>
                      <w:noProof/>
                      <w:vertAlign w:val="superscript"/>
                    </w:rPr>
                    <w:t xml:space="preserve">1 </w:t>
                  </w:r>
                  <w:r>
                    <w:t>(m</w:t>
                  </w:r>
                  <w:r>
                    <w:rPr>
                      <w:noProof/>
                      <w:vertAlign w:val="superscript"/>
                    </w:rPr>
                    <w:t>2</w:t>
                  </w:r>
                  <w:r>
                    <w:t>/l)</w:t>
                  </w:r>
                </w:p>
              </w:tc>
            </w:tr>
            <w:tr w:rsidR="00D9472D">
              <w:tc>
                <w:tcPr>
                  <w:tcW w:w="3857" w:type="dxa"/>
                </w:tcPr>
                <w:p w:rsidR="00D9472D" w:rsidRDefault="002E5D08">
                  <w:pPr>
                    <w:spacing w:before="20" w:after="20"/>
                    <w:rPr>
                      <w:noProof/>
                      <w:szCs w:val="22"/>
                    </w:rPr>
                  </w:pPr>
                  <w:r>
                    <w:t>Bijele i svijetle boje (uključujući završne premaze i međupremaze)</w:t>
                  </w:r>
                </w:p>
              </w:tc>
              <w:tc>
                <w:tcPr>
                  <w:tcW w:w="2390" w:type="dxa"/>
                </w:tcPr>
                <w:p w:rsidR="00D9472D" w:rsidRDefault="002E5D08">
                  <w:pPr>
                    <w:spacing w:before="20" w:after="20"/>
                    <w:jc w:val="center"/>
                    <w:rPr>
                      <w:noProof/>
                      <w:szCs w:val="22"/>
                    </w:rPr>
                  </w:pPr>
                  <w:r>
                    <w:t>– unutarnja primjena: 8</w:t>
                  </w:r>
                </w:p>
                <w:p w:rsidR="00D9472D" w:rsidRDefault="002E5D08">
                  <w:pPr>
                    <w:spacing w:before="20" w:after="20"/>
                    <w:jc w:val="center"/>
                    <w:rPr>
                      <w:noProof/>
                      <w:szCs w:val="22"/>
                    </w:rPr>
                  </w:pPr>
                  <w:r>
                    <w:t xml:space="preserve">– vanjska primjena: 6 </w:t>
                  </w:r>
                </w:p>
                <w:p w:rsidR="00D9472D" w:rsidRDefault="002E5D08">
                  <w:pPr>
                    <w:spacing w:before="20" w:after="20"/>
                    <w:jc w:val="center"/>
                    <w:rPr>
                      <w:noProof/>
                      <w:szCs w:val="22"/>
                    </w:rPr>
                  </w:pPr>
                  <w:r>
                    <w:t>– unutarnja i vanjska primjena: 8</w:t>
                  </w:r>
                </w:p>
              </w:tc>
            </w:tr>
            <w:tr w:rsidR="00D9472D">
              <w:tc>
                <w:tcPr>
                  <w:tcW w:w="3857" w:type="dxa"/>
                </w:tcPr>
                <w:p w:rsidR="00D9472D" w:rsidRDefault="002E5D08">
                  <w:pPr>
                    <w:spacing w:before="20" w:after="20"/>
                    <w:rPr>
                      <w:noProof/>
                      <w:szCs w:val="22"/>
                    </w:rPr>
                  </w:pPr>
                  <w:r>
                    <w:t>Sustavi za nijansiranje</w:t>
                  </w:r>
                  <w:r>
                    <w:rPr>
                      <w:noProof/>
                      <w:sz w:val="18"/>
                      <w:vertAlign w:val="superscript"/>
                    </w:rPr>
                    <w:t>2</w:t>
                  </w:r>
                </w:p>
              </w:tc>
              <w:tc>
                <w:tcPr>
                  <w:tcW w:w="2390" w:type="dxa"/>
                </w:tcPr>
                <w:p w:rsidR="00D9472D" w:rsidRDefault="002E5D08">
                  <w:pPr>
                    <w:spacing w:before="20" w:after="20"/>
                    <w:jc w:val="center"/>
                    <w:rPr>
                      <w:noProof/>
                      <w:szCs w:val="22"/>
                    </w:rPr>
                  </w:pPr>
                  <w:r>
                    <w:t>8</w:t>
                  </w:r>
                </w:p>
              </w:tc>
            </w:tr>
            <w:tr w:rsidR="00D9472D">
              <w:tc>
                <w:tcPr>
                  <w:tcW w:w="3857" w:type="dxa"/>
                </w:tcPr>
                <w:p w:rsidR="00D9472D" w:rsidRDefault="002E5D08">
                  <w:pPr>
                    <w:rPr>
                      <w:noProof/>
                      <w:szCs w:val="22"/>
                    </w:rPr>
                  </w:pPr>
                  <w:r>
                    <w:t>Temeljni i osnovni premazi</w:t>
                  </w:r>
                </w:p>
                <w:p w:rsidR="00D9472D" w:rsidRDefault="002E5D08">
                  <w:pPr>
                    <w:pStyle w:val="ListParagraph"/>
                    <w:numPr>
                      <w:ilvl w:val="0"/>
                      <w:numId w:val="4"/>
                    </w:numPr>
                    <w:contextualSpacing/>
                    <w:jc w:val="left"/>
                    <w:rPr>
                      <w:noProof/>
                      <w:szCs w:val="22"/>
                    </w:rPr>
                  </w:pPr>
                  <w:r>
                    <w:t>neprozirni</w:t>
                  </w:r>
                </w:p>
                <w:p w:rsidR="00D9472D" w:rsidRDefault="002E5D08">
                  <w:pPr>
                    <w:pStyle w:val="ListParagraph"/>
                    <w:numPr>
                      <w:ilvl w:val="0"/>
                      <w:numId w:val="4"/>
                    </w:numPr>
                    <w:contextualSpacing/>
                    <w:jc w:val="left"/>
                    <w:rPr>
                      <w:noProof/>
                      <w:szCs w:val="22"/>
                    </w:rPr>
                  </w:pPr>
                  <w:r>
                    <w:t>s posebnim blokirajućim/pečatnim svojstvima, penetracijskim/vezivnim svojstvima</w:t>
                  </w:r>
                </w:p>
                <w:p w:rsidR="00D9472D" w:rsidRDefault="002E5D08">
                  <w:pPr>
                    <w:pStyle w:val="ListParagraph"/>
                    <w:numPr>
                      <w:ilvl w:val="0"/>
                      <w:numId w:val="4"/>
                    </w:numPr>
                    <w:contextualSpacing/>
                    <w:rPr>
                      <w:noProof/>
                      <w:szCs w:val="22"/>
                    </w:rPr>
                  </w:pPr>
                  <w:r>
                    <w:t xml:space="preserve">s posebnim adhezivnim </w:t>
                  </w:r>
                  <w:r>
                    <w:t>svojstvima</w:t>
                  </w:r>
                </w:p>
              </w:tc>
              <w:tc>
                <w:tcPr>
                  <w:tcW w:w="2390" w:type="dxa"/>
                </w:tcPr>
                <w:p w:rsidR="00D9472D" w:rsidRDefault="00D9472D">
                  <w:pPr>
                    <w:jc w:val="center"/>
                    <w:rPr>
                      <w:noProof/>
                      <w:szCs w:val="22"/>
                    </w:rPr>
                  </w:pPr>
                </w:p>
                <w:p w:rsidR="00D9472D" w:rsidRDefault="002E5D08">
                  <w:pPr>
                    <w:tabs>
                      <w:tab w:val="left" w:pos="992"/>
                      <w:tab w:val="center" w:pos="1087"/>
                    </w:tabs>
                    <w:jc w:val="left"/>
                    <w:rPr>
                      <w:noProof/>
                      <w:szCs w:val="22"/>
                    </w:rPr>
                  </w:pPr>
                  <w:r>
                    <w:tab/>
                  </w:r>
                  <w:r>
                    <w:tab/>
                    <w:t>8</w:t>
                  </w:r>
                </w:p>
                <w:p w:rsidR="00D9472D" w:rsidRDefault="002E5D08">
                  <w:pPr>
                    <w:jc w:val="center"/>
                    <w:rPr>
                      <w:noProof/>
                      <w:szCs w:val="22"/>
                    </w:rPr>
                  </w:pPr>
                  <w:r>
                    <w:t>6</w:t>
                  </w:r>
                </w:p>
                <w:p w:rsidR="00D9472D" w:rsidRDefault="00D9472D">
                  <w:pPr>
                    <w:jc w:val="center"/>
                    <w:rPr>
                      <w:rFonts w:asciiTheme="majorHAnsi" w:hAnsiTheme="majorHAnsi" w:cstheme="majorBidi"/>
                      <w:b/>
                      <w:bCs/>
                      <w:noProof/>
                      <w:szCs w:val="22"/>
                    </w:rPr>
                  </w:pPr>
                </w:p>
                <w:p w:rsidR="00D9472D" w:rsidRDefault="002E5D08">
                  <w:pPr>
                    <w:jc w:val="center"/>
                    <w:rPr>
                      <w:noProof/>
                      <w:szCs w:val="22"/>
                    </w:rPr>
                  </w:pPr>
                  <w:r>
                    <w:t>6</w:t>
                  </w:r>
                </w:p>
              </w:tc>
            </w:tr>
            <w:tr w:rsidR="00D9472D">
              <w:tc>
                <w:tcPr>
                  <w:tcW w:w="3857" w:type="dxa"/>
                </w:tcPr>
                <w:p w:rsidR="00D9472D" w:rsidRDefault="002E5D08">
                  <w:pPr>
                    <w:spacing w:before="20" w:after="20"/>
                    <w:rPr>
                      <w:noProof/>
                      <w:szCs w:val="22"/>
                    </w:rPr>
                  </w:pPr>
                  <w:r>
                    <w:t>Debeli dekorativni premazi</w:t>
                  </w:r>
                </w:p>
              </w:tc>
              <w:tc>
                <w:tcPr>
                  <w:tcW w:w="2390" w:type="dxa"/>
                </w:tcPr>
                <w:p w:rsidR="00D9472D" w:rsidRDefault="002E5D08">
                  <w:pPr>
                    <w:spacing w:before="20" w:after="20"/>
                    <w:jc w:val="center"/>
                    <w:rPr>
                      <w:noProof/>
                      <w:szCs w:val="22"/>
                    </w:rPr>
                  </w:pPr>
                  <w:r>
                    <w:t>1 m</w:t>
                  </w:r>
                  <w:r>
                    <w:rPr>
                      <w:noProof/>
                      <w:vertAlign w:val="superscript"/>
                    </w:rPr>
                    <w:t>2</w:t>
                  </w:r>
                  <w:r>
                    <w:t xml:space="preserve"> po kg proizvoda</w:t>
                  </w:r>
                </w:p>
              </w:tc>
            </w:tr>
            <w:tr w:rsidR="00D9472D">
              <w:tc>
                <w:tcPr>
                  <w:tcW w:w="3857" w:type="dxa"/>
                </w:tcPr>
                <w:p w:rsidR="00D9472D" w:rsidRDefault="002E5D08">
                  <w:pPr>
                    <w:spacing w:before="20" w:after="20"/>
                    <w:rPr>
                      <w:noProof/>
                      <w:szCs w:val="22"/>
                    </w:rPr>
                  </w:pPr>
                  <w:r>
                    <w:t>Elastomerne boje za vanjsku primjenu</w:t>
                  </w:r>
                </w:p>
              </w:tc>
              <w:tc>
                <w:tcPr>
                  <w:tcW w:w="2390" w:type="dxa"/>
                </w:tcPr>
                <w:p w:rsidR="00D9472D" w:rsidRDefault="002E5D08">
                  <w:pPr>
                    <w:spacing w:before="20" w:after="20"/>
                    <w:jc w:val="center"/>
                    <w:rPr>
                      <w:noProof/>
                      <w:szCs w:val="22"/>
                    </w:rPr>
                  </w:pPr>
                  <w:r>
                    <w:t>4</w:t>
                  </w:r>
                </w:p>
              </w:tc>
            </w:tr>
          </w:tbl>
          <w:p w:rsidR="00D9472D" w:rsidRDefault="002E5D08">
            <w:pPr>
              <w:rPr>
                <w:noProof/>
                <w:sz w:val="18"/>
                <w:szCs w:val="18"/>
              </w:rPr>
            </w:pPr>
            <w:r>
              <w:rPr>
                <w:noProof/>
                <w:sz w:val="18"/>
              </w:rPr>
              <w:t>Napomene:</w:t>
            </w:r>
          </w:p>
          <w:p w:rsidR="00D9472D" w:rsidRDefault="002E5D08">
            <w:pPr>
              <w:rPr>
                <w:noProof/>
                <w:sz w:val="18"/>
                <w:szCs w:val="18"/>
              </w:rPr>
            </w:pPr>
            <w:r>
              <w:rPr>
                <w:noProof/>
                <w:sz w:val="18"/>
                <w:vertAlign w:val="superscript"/>
              </w:rPr>
              <w:t>1</w:t>
            </w:r>
            <w:r>
              <w:rPr>
                <w:noProof/>
                <w:sz w:val="18"/>
              </w:rPr>
              <w:t>Razmazivost vrijedi uz pokrivnu moć od 98 %</w:t>
            </w:r>
          </w:p>
          <w:p w:rsidR="00D9472D" w:rsidRDefault="002E5D08">
            <w:pPr>
              <w:rPr>
                <w:noProof/>
                <w:sz w:val="18"/>
                <w:szCs w:val="18"/>
              </w:rPr>
            </w:pPr>
            <w:r>
              <w:rPr>
                <w:noProof/>
                <w:sz w:val="18"/>
                <w:vertAlign w:val="superscript"/>
              </w:rPr>
              <w:t>2</w:t>
            </w:r>
            <w:r>
              <w:rPr>
                <w:noProof/>
                <w:sz w:val="18"/>
              </w:rPr>
              <w:t>Trebalo bi ispitati samo podlogu</w:t>
            </w:r>
          </w:p>
          <w:p w:rsidR="00D9472D" w:rsidRDefault="00D9472D">
            <w:pPr>
              <w:rPr>
                <w:b/>
                <w:noProof/>
                <w:szCs w:val="22"/>
              </w:rPr>
            </w:pPr>
          </w:p>
          <w:p w:rsidR="00D9472D" w:rsidRDefault="002E5D08">
            <w:pPr>
              <w:rPr>
                <w:b/>
                <w:noProof/>
                <w:szCs w:val="22"/>
              </w:rPr>
            </w:pPr>
            <w:r>
              <w:rPr>
                <w:b/>
                <w:noProof/>
              </w:rPr>
              <w:t>Provjera:</w:t>
            </w:r>
          </w:p>
          <w:p w:rsidR="00D9472D" w:rsidRDefault="002E5D08">
            <w:pPr>
              <w:rPr>
                <w:noProof/>
                <w:szCs w:val="22"/>
              </w:rPr>
            </w:pPr>
            <w:r>
              <w:t xml:space="preserve">Ponuditelj dostavlja izvješće o ispitivanju </w:t>
            </w:r>
            <w:r>
              <w:t>primjenom sljedećih ili jednakovrijednih metoda:</w:t>
            </w:r>
          </w:p>
          <w:p w:rsidR="00D9472D" w:rsidRDefault="002E5D08">
            <w:pPr>
              <w:pStyle w:val="ListParagraph"/>
              <w:numPr>
                <w:ilvl w:val="0"/>
                <w:numId w:val="5"/>
              </w:numPr>
              <w:ind w:left="460" w:hanging="284"/>
              <w:rPr>
                <w:noProof/>
                <w:szCs w:val="22"/>
              </w:rPr>
            </w:pPr>
            <w:r>
              <w:t>ISO 6504/1 (Boje i lakovi – određivanje pokrivne moći – 1. dio: Kubelka-Munkova metoda za bijele i svijetle boje)</w:t>
            </w:r>
          </w:p>
          <w:p w:rsidR="00D9472D" w:rsidRDefault="002E5D08">
            <w:pPr>
              <w:pStyle w:val="ListParagraph"/>
              <w:numPr>
                <w:ilvl w:val="0"/>
                <w:numId w:val="5"/>
              </w:numPr>
              <w:ind w:left="460" w:hanging="284"/>
              <w:rPr>
                <w:noProof/>
                <w:szCs w:val="22"/>
              </w:rPr>
            </w:pPr>
            <w:r>
              <w:t>ISO 6504/3 (3. dio: određivanje omjera kontrasta (neprozirnosti) svijetlih boja pri fiksnoj r</w:t>
            </w:r>
            <w:r>
              <w:t>azmazivosti)</w:t>
            </w:r>
          </w:p>
          <w:p w:rsidR="00D9472D" w:rsidRDefault="002E5D08">
            <w:pPr>
              <w:pStyle w:val="ListParagraph"/>
              <w:numPr>
                <w:ilvl w:val="0"/>
                <w:numId w:val="5"/>
              </w:numPr>
              <w:ind w:left="460" w:hanging="284"/>
              <w:rPr>
                <w:b/>
                <w:szCs w:val="22"/>
              </w:rPr>
            </w:pPr>
            <w:r>
              <w:t>NF T 30 073 za posebno dizajnirane boje s trodimenzionalnim dekorativnim učinkom za koje je karakterističan vrlo debeli sloj.</w:t>
            </w:r>
          </w:p>
          <w:p w:rsidR="00D9472D" w:rsidRDefault="002E5D08">
            <w:pPr>
              <w:rPr>
                <w:noProof/>
                <w:szCs w:val="22"/>
              </w:rPr>
            </w:pPr>
            <w:r>
              <w:t>Proizvodi kojima je dodijeljen znak za okoliš EU-a za boje i lakove, kako je utvrđeno Odlukom Komisije (EU) 2014/312/</w:t>
            </w:r>
            <w:r>
              <w:t>EU, smatraju se usklađenima.</w:t>
            </w:r>
          </w:p>
          <w:p w:rsidR="00D9472D" w:rsidRDefault="00D9472D">
            <w:pPr>
              <w:rPr>
                <w:b/>
                <w:szCs w:val="22"/>
              </w:rPr>
            </w:pPr>
          </w:p>
        </w:tc>
      </w:tr>
      <w:tr w:rsidR="00D9472D">
        <w:tc>
          <w:tcPr>
            <w:tcW w:w="2494" w:type="pct"/>
            <w:shd w:val="clear" w:color="auto" w:fill="auto"/>
          </w:tcPr>
          <w:p w:rsidR="00D9472D" w:rsidRDefault="00D9472D">
            <w:pPr>
              <w:tabs>
                <w:tab w:val="left" w:pos="1951"/>
                <w:tab w:val="left" w:pos="4502"/>
              </w:tabs>
              <w:rPr>
                <w:b/>
                <w:szCs w:val="22"/>
              </w:rPr>
            </w:pPr>
          </w:p>
        </w:tc>
        <w:tc>
          <w:tcPr>
            <w:tcW w:w="2506" w:type="pct"/>
            <w:shd w:val="clear" w:color="auto" w:fill="auto"/>
          </w:tcPr>
          <w:p w:rsidR="00D9472D" w:rsidRDefault="002E5D08">
            <w:pPr>
              <w:tabs>
                <w:tab w:val="left" w:pos="1951"/>
                <w:tab w:val="left" w:pos="4502"/>
              </w:tabs>
              <w:rPr>
                <w:b/>
                <w:szCs w:val="22"/>
              </w:rPr>
            </w:pPr>
            <w:r>
              <w:rPr>
                <w:b/>
              </w:rPr>
              <w:t>2.2. Otpornost na mokro trljanje (samo za boje za unutarnju primjenu)</w:t>
            </w:r>
          </w:p>
          <w:p w:rsidR="00D9472D" w:rsidRDefault="002E5D08">
            <w:pPr>
              <w:tabs>
                <w:tab w:val="left" w:pos="1951"/>
                <w:tab w:val="left" w:pos="4502"/>
              </w:tabs>
              <w:rPr>
                <w:i/>
                <w:szCs w:val="22"/>
              </w:rPr>
            </w:pPr>
            <w:r>
              <w:rPr>
                <w:i/>
              </w:rPr>
              <w:t>(Za primjene u kojima je potrebna mogućnost čišćenja i otpornost na trljanje)</w:t>
            </w:r>
          </w:p>
          <w:p w:rsidR="00D9472D" w:rsidRDefault="002E5D08">
            <w:pPr>
              <w:tabs>
                <w:tab w:val="left" w:pos="1951"/>
                <w:tab w:val="left" w:pos="4502"/>
              </w:tabs>
              <w:rPr>
                <w:i/>
                <w:noProof/>
                <w:szCs w:val="22"/>
              </w:rPr>
            </w:pPr>
            <w:r>
              <w:rPr>
                <w:i/>
                <w:noProof/>
              </w:rPr>
              <w:t>(Ovaj se zahtjev ne primjenjuje na prozirne i poluprozirne premaze.)</w:t>
            </w:r>
          </w:p>
          <w:p w:rsidR="00D9472D" w:rsidRDefault="00D9472D">
            <w:pPr>
              <w:tabs>
                <w:tab w:val="left" w:pos="1951"/>
                <w:tab w:val="left" w:pos="4502"/>
              </w:tabs>
              <w:rPr>
                <w:i/>
                <w:noProof/>
                <w:szCs w:val="22"/>
              </w:rPr>
            </w:pPr>
          </w:p>
          <w:p w:rsidR="00D9472D" w:rsidRDefault="002E5D08">
            <w:pPr>
              <w:rPr>
                <w:noProof/>
                <w:szCs w:val="22"/>
              </w:rPr>
            </w:pPr>
            <w:r>
              <w:t>Zidna boja za koju se u natječaju zahtijeva otpornost na mokro trljanje mora biti u razredu 1. ili 2. otpornosti na mokro trljanje u skladu s normama EN 13300 i EN ISO 11998 ili jednakovrijednim normama. Od ovog su zahtjeva izuzete zidne i stropne mat boje</w:t>
            </w:r>
            <w:r>
              <w:t xml:space="preserve"> za unutarnju primjenu s udjelom bijelog pigmenta koji je jednak ili manji od 25 g/m</w:t>
            </w:r>
            <w:r>
              <w:rPr>
                <w:noProof/>
                <w:vertAlign w:val="superscript"/>
              </w:rPr>
              <w:t>2</w:t>
            </w:r>
            <w:r>
              <w:t xml:space="preserve"> suhog filma. Ovaj se zahtjev primjenjuje samo na podloge za nijansiranje (osnovne boje).</w:t>
            </w:r>
          </w:p>
          <w:p w:rsidR="00D9472D" w:rsidRDefault="00D9472D">
            <w:pPr>
              <w:rPr>
                <w:noProof/>
                <w:szCs w:val="22"/>
              </w:rPr>
            </w:pPr>
          </w:p>
          <w:p w:rsidR="00D9472D" w:rsidRDefault="002E5D08">
            <w:pPr>
              <w:rPr>
                <w:b/>
                <w:noProof/>
                <w:szCs w:val="22"/>
              </w:rPr>
            </w:pPr>
            <w:r>
              <w:rPr>
                <w:b/>
                <w:noProof/>
              </w:rPr>
              <w:t>Provjera:</w:t>
            </w:r>
          </w:p>
          <w:p w:rsidR="00D9472D" w:rsidRDefault="002E5D08">
            <w:pPr>
              <w:rPr>
                <w:noProof/>
                <w:szCs w:val="22"/>
              </w:rPr>
            </w:pPr>
            <w:r>
              <w:t>Ponuditelj dostavlja izvješće o ispitivanju u skladu s normom EN 13300</w:t>
            </w:r>
            <w:r>
              <w:t xml:space="preserve"> uz primjenu metode EN ISO 11998 (ispitivanje mogućnosti čišćenja i otpornosti na trljanje) ili jednakovrijedne metode.</w:t>
            </w:r>
          </w:p>
          <w:p w:rsidR="00D9472D" w:rsidRDefault="002E5D08">
            <w:pPr>
              <w:rPr>
                <w:noProof/>
                <w:szCs w:val="22"/>
              </w:rPr>
            </w:pPr>
            <w:r>
              <w:t>Proizvodi kojima je dodijeljen znak za okoliš EU-a za boje i lakove, kako je utvrđeno Odlukom Komisije (EU) 2014/312/EU, smatraju se usk</w:t>
            </w:r>
            <w:r>
              <w:t>lađenima.</w:t>
            </w:r>
          </w:p>
          <w:p w:rsidR="00D9472D" w:rsidRDefault="00D9472D">
            <w:pPr>
              <w:tabs>
                <w:tab w:val="left" w:pos="1951"/>
                <w:tab w:val="left" w:pos="4502"/>
              </w:tabs>
              <w:rPr>
                <w:b/>
                <w:szCs w:val="22"/>
              </w:rPr>
            </w:pPr>
          </w:p>
          <w:p w:rsidR="00D9472D" w:rsidRDefault="002E5D08">
            <w:pPr>
              <w:tabs>
                <w:tab w:val="left" w:pos="1951"/>
                <w:tab w:val="left" w:pos="4502"/>
              </w:tabs>
              <w:rPr>
                <w:i/>
                <w:szCs w:val="22"/>
              </w:rPr>
            </w:pPr>
            <w:r>
              <w:rPr>
                <w:i/>
              </w:rPr>
              <w:t>Nije predloženo osnovno mjerilo, ali javne naručitelje potiče se da upotrebljavaju sveobuhvatno mjerilo ako će se kupljena boja upotrebljavati na površinama koje će se intenzivno čistiti.</w:t>
            </w:r>
          </w:p>
          <w:p w:rsidR="00D9472D" w:rsidRDefault="00D9472D">
            <w:pPr>
              <w:tabs>
                <w:tab w:val="left" w:pos="1951"/>
                <w:tab w:val="left" w:pos="4502"/>
              </w:tabs>
              <w:rPr>
                <w:b/>
                <w:szCs w:val="22"/>
              </w:rPr>
            </w:pPr>
          </w:p>
        </w:tc>
      </w:tr>
    </w:tbl>
    <w:p w:rsidR="00D9472D" w:rsidRDefault="00D9472D">
      <w:pPr>
        <w:tabs>
          <w:tab w:val="left" w:pos="1951"/>
          <w:tab w:val="left" w:pos="4502"/>
        </w:tabs>
        <w:rPr>
          <w:b/>
          <w:szCs w:val="22"/>
        </w:rPr>
        <w:sectPr w:rsidR="00D9472D">
          <w:headerReference w:type="even" r:id="rId41"/>
          <w:headerReference w:type="default" r:id="rId42"/>
          <w:footerReference w:type="even" r:id="rId43"/>
          <w:footerReference w:type="default" r:id="rId44"/>
          <w:headerReference w:type="first" r:id="rId45"/>
          <w:footerReference w:type="first" r:id="rId46"/>
          <w:pgSz w:w="16838" w:h="11906" w:orient="landscape"/>
          <w:pgMar w:top="1800" w:right="1440" w:bottom="1800" w:left="1440" w:header="708" w:footer="708" w:gutter="0"/>
          <w:cols w:space="708"/>
          <w:titlePg/>
          <w:docGrid w:linePitch="360"/>
        </w:sectPr>
      </w:pPr>
    </w:p>
    <w:tbl>
      <w:tblPr>
        <w:tblW w:w="501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7"/>
        <w:gridCol w:w="7121"/>
      </w:tblGrid>
      <w:tr w:rsidR="00D9472D">
        <w:tc>
          <w:tcPr>
            <w:tcW w:w="5000" w:type="pct"/>
            <w:gridSpan w:val="2"/>
            <w:shd w:val="clear" w:color="auto" w:fill="auto"/>
          </w:tcPr>
          <w:p w:rsidR="00D9472D" w:rsidRDefault="002E5D08">
            <w:pPr>
              <w:tabs>
                <w:tab w:val="left" w:pos="1951"/>
                <w:tab w:val="left" w:pos="4502"/>
              </w:tabs>
              <w:rPr>
                <w:b/>
                <w:szCs w:val="22"/>
              </w:rPr>
            </w:pPr>
            <w:r>
              <w:rPr>
                <w:b/>
              </w:rPr>
              <w:t>2.3. Otpornost na atmosfersko starenje (samo za boje za vanjsku primjenu)</w:t>
            </w:r>
          </w:p>
          <w:p w:rsidR="00D9472D" w:rsidRDefault="002E5D08">
            <w:pPr>
              <w:tabs>
                <w:tab w:val="left" w:pos="1951"/>
                <w:tab w:val="left" w:pos="4502"/>
              </w:tabs>
              <w:rPr>
                <w:i/>
                <w:szCs w:val="22"/>
              </w:rPr>
            </w:pPr>
            <w:r>
              <w:rPr>
                <w:i/>
              </w:rPr>
              <w:t>(Isto za osnovna i sveobuhvatna mjerila)</w:t>
            </w:r>
          </w:p>
          <w:p w:rsidR="00D9472D" w:rsidRDefault="00D9472D">
            <w:pPr>
              <w:tabs>
                <w:tab w:val="left" w:pos="1951"/>
                <w:tab w:val="left" w:pos="4502"/>
              </w:tabs>
              <w:rPr>
                <w:szCs w:val="22"/>
              </w:rPr>
            </w:pPr>
          </w:p>
          <w:p w:rsidR="00D9472D" w:rsidRDefault="002E5D08">
            <w:pPr>
              <w:rPr>
                <w:szCs w:val="22"/>
              </w:rPr>
            </w:pPr>
            <w:r>
              <w:t xml:space="preserve">Zidne boje te boje za drvo i metal moraju biti otporne na moguće oblike propadanja izazvane </w:t>
            </w:r>
            <w:r>
              <w:t>atmosferskim starenjem iz tablice 8.</w:t>
            </w:r>
          </w:p>
          <w:p w:rsidR="00D9472D" w:rsidRDefault="002E5D08">
            <w:pPr>
              <w:rPr>
                <w:noProof/>
                <w:szCs w:val="22"/>
              </w:rPr>
            </w:pPr>
            <w:r>
              <w:t>Zidne boje izlažu se umjetnim uvjetima ispitivanja u trajanju od 1000 sati, a boje za drvo i metal 500 sati.</w:t>
            </w:r>
          </w:p>
          <w:p w:rsidR="00D9472D" w:rsidRDefault="002E5D08">
            <w:pPr>
              <w:tabs>
                <w:tab w:val="left" w:pos="1951"/>
                <w:tab w:val="left" w:pos="4502"/>
              </w:tabs>
              <w:rPr>
                <w:szCs w:val="22"/>
              </w:rPr>
            </w:pPr>
            <w:r>
              <w:t xml:space="preserve">To se dokazuje u skladu s preporučenim metodama ispitivanja ili jednakovrijednim metodama u umjetnim uvjetima </w:t>
            </w:r>
            <w:r>
              <w:t>atmosferskog starenja. Otpornost boja za metal na koroziju uključuje i pojavu mjehurića.</w:t>
            </w:r>
          </w:p>
          <w:p w:rsidR="00D9472D" w:rsidRDefault="002E5D08">
            <w:pPr>
              <w:tabs>
                <w:tab w:val="left" w:pos="1951"/>
                <w:tab w:val="left" w:pos="4502"/>
              </w:tabs>
              <w:rPr>
                <w:szCs w:val="22"/>
              </w:rPr>
            </w:pPr>
            <w:r>
              <w:t>Ispitivanje bi trebalo provesti na podlozi za nijansiranje.</w:t>
            </w:r>
          </w:p>
          <w:p w:rsidR="00D9472D" w:rsidRDefault="00D9472D">
            <w:pPr>
              <w:rPr>
                <w:noProof/>
                <w:szCs w:val="22"/>
              </w:rPr>
            </w:pPr>
          </w:p>
          <w:p w:rsidR="00D9472D" w:rsidRDefault="002E5D08">
            <w:pPr>
              <w:pStyle w:val="StyleCaption11ptItalic"/>
              <w:rPr>
                <w:noProof/>
                <w:szCs w:val="22"/>
              </w:rPr>
            </w:pPr>
            <w:r>
              <w:t>Tablica </w:t>
            </w:r>
            <w:r>
              <w:fldChar w:fldCharType="begin"/>
            </w:r>
            <w:r>
              <w:instrText xml:space="preserve"> SEQ Table \* ARABIC </w:instrText>
            </w:r>
            <w:r>
              <w:fldChar w:fldCharType="separate"/>
            </w:r>
            <w:r>
              <w:rPr>
                <w:noProof/>
              </w:rPr>
              <w:t>8</w:t>
            </w:r>
            <w:r>
              <w:rPr>
                <w:noProof/>
              </w:rPr>
              <w:fldChar w:fldCharType="end"/>
            </w:r>
            <w:r>
              <w:t>. Ispitivanja otpornosti na atmosfersko starenje</w:t>
            </w:r>
          </w:p>
          <w:tbl>
            <w:tblPr>
              <w:tblStyle w:val="TableGrid"/>
              <w:tblW w:w="0" w:type="auto"/>
              <w:tblLayout w:type="fixed"/>
              <w:tblLook w:val="04A0" w:firstRow="1" w:lastRow="0" w:firstColumn="1" w:lastColumn="0" w:noHBand="0" w:noVBand="1"/>
            </w:tblPr>
            <w:tblGrid>
              <w:gridCol w:w="2156"/>
              <w:gridCol w:w="2976"/>
              <w:gridCol w:w="1701"/>
            </w:tblGrid>
            <w:tr w:rsidR="00D9472D">
              <w:tc>
                <w:tcPr>
                  <w:tcW w:w="2156" w:type="dxa"/>
                </w:tcPr>
                <w:p w:rsidR="00D9472D" w:rsidRDefault="002E5D08">
                  <w:pPr>
                    <w:rPr>
                      <w:b/>
                      <w:noProof/>
                      <w:szCs w:val="22"/>
                    </w:rPr>
                  </w:pPr>
                  <w:r>
                    <w:rPr>
                      <w:b/>
                      <w:noProof/>
                    </w:rPr>
                    <w:t>Propadanje izazvano atmo</w:t>
                  </w:r>
                  <w:r>
                    <w:rPr>
                      <w:b/>
                      <w:noProof/>
                    </w:rPr>
                    <w:t>sferskim starenjem</w:t>
                  </w:r>
                </w:p>
              </w:tc>
              <w:tc>
                <w:tcPr>
                  <w:tcW w:w="2976" w:type="dxa"/>
                </w:tcPr>
                <w:p w:rsidR="00D9472D" w:rsidRDefault="002E5D08">
                  <w:pPr>
                    <w:rPr>
                      <w:b/>
                      <w:noProof/>
                      <w:szCs w:val="22"/>
                    </w:rPr>
                  </w:pPr>
                  <w:r>
                    <w:rPr>
                      <w:b/>
                      <w:noProof/>
                    </w:rPr>
                    <w:t>Zahtjev u pogledu učinkovitosti</w:t>
                  </w:r>
                </w:p>
              </w:tc>
              <w:tc>
                <w:tcPr>
                  <w:tcW w:w="1701" w:type="dxa"/>
                </w:tcPr>
                <w:p w:rsidR="00D9472D" w:rsidRDefault="002E5D08">
                  <w:pPr>
                    <w:rPr>
                      <w:b/>
                      <w:noProof/>
                      <w:szCs w:val="22"/>
                    </w:rPr>
                  </w:pPr>
                  <w:r>
                    <w:rPr>
                      <w:b/>
                      <w:noProof/>
                    </w:rPr>
                    <w:t>Preporučeno ispitivanje</w:t>
                  </w:r>
                </w:p>
              </w:tc>
            </w:tr>
            <w:tr w:rsidR="00D9472D">
              <w:tc>
                <w:tcPr>
                  <w:tcW w:w="2156" w:type="dxa"/>
                  <w:vAlign w:val="center"/>
                </w:tcPr>
                <w:p w:rsidR="00D9472D" w:rsidRDefault="002E5D08">
                  <w:pPr>
                    <w:jc w:val="left"/>
                    <w:rPr>
                      <w:noProof/>
                      <w:szCs w:val="22"/>
                    </w:rPr>
                  </w:pPr>
                  <w:r>
                    <w:t>Smanjenje sjaja</w:t>
                  </w:r>
                  <w:r>
                    <w:rPr>
                      <w:noProof/>
                      <w:vertAlign w:val="superscript"/>
                    </w:rPr>
                    <w:t>1</w:t>
                  </w:r>
                </w:p>
              </w:tc>
              <w:tc>
                <w:tcPr>
                  <w:tcW w:w="2976" w:type="dxa"/>
                </w:tcPr>
                <w:p w:rsidR="00D9472D" w:rsidRDefault="002E5D08">
                  <w:pPr>
                    <w:rPr>
                      <w:noProof/>
                      <w:szCs w:val="22"/>
                    </w:rPr>
                  </w:pPr>
                  <w:r>
                    <w:t>Manje od ili jednako 30 % početne vrijednosti</w:t>
                  </w:r>
                </w:p>
              </w:tc>
              <w:tc>
                <w:tcPr>
                  <w:tcW w:w="1701" w:type="dxa"/>
                </w:tcPr>
                <w:p w:rsidR="00D9472D" w:rsidRDefault="002E5D08">
                  <w:pPr>
                    <w:rPr>
                      <w:noProof/>
                      <w:szCs w:val="22"/>
                    </w:rPr>
                  </w:pPr>
                  <w:r>
                    <w:t>ISO 2813</w:t>
                  </w:r>
                </w:p>
              </w:tc>
            </w:tr>
            <w:tr w:rsidR="00D9472D">
              <w:tc>
                <w:tcPr>
                  <w:tcW w:w="2156" w:type="dxa"/>
                  <w:vAlign w:val="center"/>
                </w:tcPr>
                <w:p w:rsidR="00D9472D" w:rsidRDefault="002E5D08">
                  <w:pPr>
                    <w:jc w:val="left"/>
                    <w:rPr>
                      <w:noProof/>
                      <w:szCs w:val="22"/>
                    </w:rPr>
                  </w:pPr>
                  <w:r>
                    <w:t>Struganje</w:t>
                  </w:r>
                </w:p>
              </w:tc>
              <w:tc>
                <w:tcPr>
                  <w:tcW w:w="2976" w:type="dxa"/>
                </w:tcPr>
                <w:p w:rsidR="00D9472D" w:rsidRDefault="002E5D08">
                  <w:pPr>
                    <w:rPr>
                      <w:noProof/>
                      <w:szCs w:val="22"/>
                    </w:rPr>
                  </w:pPr>
                  <w:r>
                    <w:t>Ocjena 1,5 ili bolja (0,5 ili 1,0)</w:t>
                  </w:r>
                </w:p>
              </w:tc>
              <w:tc>
                <w:tcPr>
                  <w:tcW w:w="1701" w:type="dxa"/>
                </w:tcPr>
                <w:p w:rsidR="00D9472D" w:rsidRDefault="002E5D08">
                  <w:pPr>
                    <w:rPr>
                      <w:noProof/>
                      <w:szCs w:val="22"/>
                    </w:rPr>
                  </w:pPr>
                  <w:r>
                    <w:t>EN ISO 4628-6</w:t>
                  </w:r>
                </w:p>
              </w:tc>
            </w:tr>
            <w:tr w:rsidR="00D9472D">
              <w:tc>
                <w:tcPr>
                  <w:tcW w:w="2156" w:type="dxa"/>
                  <w:vAlign w:val="center"/>
                </w:tcPr>
                <w:p w:rsidR="00D9472D" w:rsidRDefault="002E5D08">
                  <w:pPr>
                    <w:jc w:val="left"/>
                    <w:rPr>
                      <w:noProof/>
                      <w:szCs w:val="22"/>
                    </w:rPr>
                  </w:pPr>
                  <w:r>
                    <w:t>Ljuštenje</w:t>
                  </w:r>
                </w:p>
              </w:tc>
              <w:tc>
                <w:tcPr>
                  <w:tcW w:w="2976" w:type="dxa"/>
                </w:tcPr>
                <w:p w:rsidR="00D9472D" w:rsidRDefault="002E5D08">
                  <w:pPr>
                    <w:rPr>
                      <w:noProof/>
                      <w:szCs w:val="22"/>
                    </w:rPr>
                  </w:pPr>
                  <w:r>
                    <w:t>Gustoća ljusaka 2 ili manje, veličina</w:t>
                  </w:r>
                  <w:r>
                    <w:t xml:space="preserve"> ljusaka 2 ili manje</w:t>
                  </w:r>
                </w:p>
              </w:tc>
              <w:tc>
                <w:tcPr>
                  <w:tcW w:w="1701" w:type="dxa"/>
                </w:tcPr>
                <w:p w:rsidR="00D9472D" w:rsidRDefault="002E5D08">
                  <w:pPr>
                    <w:rPr>
                      <w:noProof/>
                      <w:szCs w:val="22"/>
                    </w:rPr>
                  </w:pPr>
                  <w:r>
                    <w:t>ISO 4628-5</w:t>
                  </w:r>
                </w:p>
              </w:tc>
            </w:tr>
            <w:tr w:rsidR="00D9472D">
              <w:tc>
                <w:tcPr>
                  <w:tcW w:w="2156" w:type="dxa"/>
                  <w:vAlign w:val="center"/>
                </w:tcPr>
                <w:p w:rsidR="00D9472D" w:rsidRDefault="002E5D08">
                  <w:pPr>
                    <w:jc w:val="left"/>
                    <w:rPr>
                      <w:noProof/>
                      <w:szCs w:val="22"/>
                    </w:rPr>
                  </w:pPr>
                  <w:r>
                    <w:t>Pucanje</w:t>
                  </w:r>
                </w:p>
              </w:tc>
              <w:tc>
                <w:tcPr>
                  <w:tcW w:w="2976" w:type="dxa"/>
                </w:tcPr>
                <w:p w:rsidR="00D9472D" w:rsidRDefault="002E5D08">
                  <w:pPr>
                    <w:rPr>
                      <w:noProof/>
                      <w:szCs w:val="22"/>
                    </w:rPr>
                  </w:pPr>
                  <w:r>
                    <w:t>Količina raspuklina 2 ili manje, veličina raspuklina 3 ili manje</w:t>
                  </w:r>
                </w:p>
              </w:tc>
              <w:tc>
                <w:tcPr>
                  <w:tcW w:w="1701" w:type="dxa"/>
                </w:tcPr>
                <w:p w:rsidR="00D9472D" w:rsidRDefault="002E5D08">
                  <w:pPr>
                    <w:rPr>
                      <w:noProof/>
                      <w:szCs w:val="22"/>
                    </w:rPr>
                  </w:pPr>
                  <w:r>
                    <w:t>ISO 4628-4</w:t>
                  </w:r>
                </w:p>
              </w:tc>
            </w:tr>
            <w:tr w:rsidR="00D9472D">
              <w:tc>
                <w:tcPr>
                  <w:tcW w:w="2156" w:type="dxa"/>
                  <w:vAlign w:val="center"/>
                </w:tcPr>
                <w:p w:rsidR="00D9472D" w:rsidRDefault="002E5D08">
                  <w:pPr>
                    <w:jc w:val="left"/>
                    <w:rPr>
                      <w:noProof/>
                      <w:szCs w:val="22"/>
                    </w:rPr>
                  </w:pPr>
                  <w:r>
                    <w:t>Pojava mjehurića</w:t>
                  </w:r>
                </w:p>
              </w:tc>
              <w:tc>
                <w:tcPr>
                  <w:tcW w:w="2976" w:type="dxa"/>
                </w:tcPr>
                <w:p w:rsidR="00D9472D" w:rsidRDefault="002E5D08">
                  <w:pPr>
                    <w:rPr>
                      <w:noProof/>
                      <w:szCs w:val="22"/>
                    </w:rPr>
                  </w:pPr>
                  <w:r>
                    <w:t>Gustoća mjehura 3 ili manje, veličina mjehura 3 ili manje</w:t>
                  </w:r>
                </w:p>
              </w:tc>
              <w:tc>
                <w:tcPr>
                  <w:tcW w:w="1701" w:type="dxa"/>
                </w:tcPr>
                <w:p w:rsidR="00D9472D" w:rsidRDefault="002E5D08">
                  <w:pPr>
                    <w:rPr>
                      <w:noProof/>
                      <w:szCs w:val="22"/>
                    </w:rPr>
                  </w:pPr>
                  <w:r>
                    <w:t>ISO 4628-2</w:t>
                  </w:r>
                </w:p>
              </w:tc>
            </w:tr>
            <w:tr w:rsidR="00D9472D">
              <w:tc>
                <w:tcPr>
                  <w:tcW w:w="2156" w:type="dxa"/>
                  <w:vAlign w:val="center"/>
                </w:tcPr>
                <w:p w:rsidR="00D9472D" w:rsidRDefault="002E5D08">
                  <w:pPr>
                    <w:jc w:val="left"/>
                    <w:rPr>
                      <w:noProof/>
                      <w:szCs w:val="22"/>
                    </w:rPr>
                  </w:pPr>
                  <w:r>
                    <w:t>Korozija</w:t>
                  </w:r>
                  <w:r>
                    <w:rPr>
                      <w:noProof/>
                      <w:vertAlign w:val="superscript"/>
                    </w:rPr>
                    <w:t>2</w:t>
                  </w:r>
                </w:p>
              </w:tc>
              <w:tc>
                <w:tcPr>
                  <w:tcW w:w="2976" w:type="dxa"/>
                </w:tcPr>
                <w:p w:rsidR="00D9472D" w:rsidRDefault="002E5D08">
                  <w:pPr>
                    <w:rPr>
                      <w:noProof/>
                      <w:szCs w:val="22"/>
                    </w:rPr>
                  </w:pPr>
                  <w:r>
                    <w:t>Hrđanje jednako ili bolje od Ri2</w:t>
                  </w:r>
                </w:p>
              </w:tc>
              <w:tc>
                <w:tcPr>
                  <w:tcW w:w="1701" w:type="dxa"/>
                </w:tcPr>
                <w:p w:rsidR="00D9472D" w:rsidRDefault="002E5D08">
                  <w:pPr>
                    <w:rPr>
                      <w:noProof/>
                      <w:szCs w:val="22"/>
                    </w:rPr>
                  </w:pPr>
                  <w:r>
                    <w:t xml:space="preserve">ISO 4628-3 </w:t>
                  </w:r>
                </w:p>
              </w:tc>
            </w:tr>
          </w:tbl>
          <w:p w:rsidR="00D9472D" w:rsidRDefault="002E5D08">
            <w:pPr>
              <w:spacing w:before="120" w:after="120"/>
              <w:contextualSpacing/>
              <w:rPr>
                <w:noProof/>
                <w:sz w:val="18"/>
                <w:szCs w:val="18"/>
              </w:rPr>
            </w:pPr>
            <w:r>
              <w:rPr>
                <w:noProof/>
                <w:sz w:val="18"/>
                <w:vertAlign w:val="superscript"/>
              </w:rPr>
              <w:t>1</w:t>
            </w:r>
            <w:r>
              <w:rPr>
                <w:noProof/>
                <w:sz w:val="18"/>
              </w:rPr>
              <w:t>Nije primjenjivo za srednje sjajne i mat završne premaze (pojedinosti potražiti u Prilogu 1.).</w:t>
            </w:r>
          </w:p>
          <w:p w:rsidR="00D9472D" w:rsidRDefault="002E5D08">
            <w:pPr>
              <w:spacing w:before="120" w:after="120"/>
              <w:contextualSpacing/>
              <w:rPr>
                <w:noProof/>
                <w:sz w:val="18"/>
                <w:szCs w:val="18"/>
              </w:rPr>
            </w:pPr>
            <w:r>
              <w:rPr>
                <w:noProof/>
                <w:sz w:val="18"/>
                <w:vertAlign w:val="superscript"/>
              </w:rPr>
              <w:t>2</w:t>
            </w:r>
            <w:r>
              <w:rPr>
                <w:noProof/>
                <w:sz w:val="18"/>
              </w:rPr>
              <w:t>Za antikorozivne boje.</w:t>
            </w:r>
          </w:p>
          <w:p w:rsidR="00D9472D" w:rsidRDefault="00D9472D">
            <w:pPr>
              <w:spacing w:before="120" w:after="120"/>
              <w:contextualSpacing/>
              <w:rPr>
                <w:noProof/>
                <w:sz w:val="18"/>
                <w:szCs w:val="18"/>
              </w:rPr>
            </w:pPr>
          </w:p>
          <w:p w:rsidR="00D9472D" w:rsidRDefault="002E5D08">
            <w:pPr>
              <w:rPr>
                <w:b/>
                <w:noProof/>
                <w:szCs w:val="22"/>
              </w:rPr>
            </w:pPr>
            <w:r>
              <w:rPr>
                <w:b/>
                <w:noProof/>
              </w:rPr>
              <w:t>Provjera:</w:t>
            </w:r>
          </w:p>
          <w:p w:rsidR="00D9472D" w:rsidRDefault="002E5D08">
            <w:pPr>
              <w:rPr>
                <w:noProof/>
                <w:szCs w:val="22"/>
              </w:rPr>
            </w:pPr>
            <w:r>
              <w:t>Ponuditelj dostavlja rezultate ispitivanja koji pokazuju učinkovitost boje u skladu sa zahtjevima navedenima u t</w:t>
            </w:r>
            <w:r>
              <w:t>ablici 8.</w:t>
            </w:r>
          </w:p>
          <w:p w:rsidR="00D9472D" w:rsidRDefault="002E5D08">
            <w:pPr>
              <w:rPr>
                <w:noProof/>
                <w:szCs w:val="22"/>
              </w:rPr>
            </w:pPr>
            <w:r>
              <w:t>Uz iznimku korozije za boje za metal, umjetni uvjeti atmosferskog starenja odražavaju uvjete opisane u normi ISO 11507 ili (za završne premaze za drvo za vanjsku primjenu) aparatu za ubrzano atmosfersko starenje QUV s cikličkim izlaganjem UV(A) z</w:t>
            </w:r>
            <w:r>
              <w:t>račenju i prskanju u skladu s normom EN 927-6 ili jednakovrijednim normama.</w:t>
            </w:r>
          </w:p>
          <w:p w:rsidR="00D9472D" w:rsidRDefault="002E5D08">
            <w:pPr>
              <w:rPr>
                <w:noProof/>
                <w:szCs w:val="22"/>
              </w:rPr>
            </w:pPr>
            <w:r>
              <w:t>Za koroziju se upotrebljavaju odgovarajuće kategorije koje se odnose na atmosfersku koroziju iz norme EN ISO 12944-2 i prateći postupci navedeni u normi EN ISO 12944-6 ili jednakov</w:t>
            </w:r>
            <w:r>
              <w:t>rijednoj. Antikorozivne boje za podloge od čelika ispituju se nakon 240-satnog izlaganja u slanoj komori u skladu s normom ISO 9227 ili primjenom jednakovrijedne norme.</w:t>
            </w:r>
          </w:p>
          <w:p w:rsidR="00D9472D" w:rsidRDefault="002E5D08">
            <w:pPr>
              <w:rPr>
                <w:noProof/>
                <w:szCs w:val="22"/>
              </w:rPr>
            </w:pPr>
            <w:r>
              <w:t>Proizvodi kojima je dodijeljen znak za okoliš EU-a za boje i lakove, kako je utvrđeno O</w:t>
            </w:r>
            <w:r>
              <w:t>dlukom Komisije (EU) 2014/312/EU, smatraju se usklađenima s prethodno navedenim mjerilima.</w:t>
            </w:r>
          </w:p>
          <w:p w:rsidR="00D9472D" w:rsidRDefault="00D9472D">
            <w:pPr>
              <w:rPr>
                <w:b/>
                <w:szCs w:val="22"/>
              </w:rPr>
            </w:pPr>
          </w:p>
        </w:tc>
      </w:tr>
      <w:tr w:rsidR="00D9472D">
        <w:tc>
          <w:tcPr>
            <w:tcW w:w="5000" w:type="pct"/>
            <w:gridSpan w:val="2"/>
            <w:shd w:val="clear" w:color="auto" w:fill="auto"/>
          </w:tcPr>
          <w:p w:rsidR="00D9472D" w:rsidRDefault="002E5D08">
            <w:pPr>
              <w:tabs>
                <w:tab w:val="left" w:pos="1951"/>
                <w:tab w:val="left" w:pos="4502"/>
              </w:tabs>
              <w:rPr>
                <w:b/>
                <w:szCs w:val="22"/>
              </w:rPr>
            </w:pPr>
            <w:r>
              <w:rPr>
                <w:b/>
              </w:rPr>
              <w:t>2.4. Otpornost filma na gljivice i obrastanje algama (samo za boje za vanjsku primjenu)</w:t>
            </w:r>
          </w:p>
          <w:p w:rsidR="00D9472D" w:rsidRDefault="002E5D08">
            <w:pPr>
              <w:tabs>
                <w:tab w:val="left" w:pos="1951"/>
                <w:tab w:val="left" w:pos="4502"/>
              </w:tabs>
              <w:rPr>
                <w:i/>
                <w:szCs w:val="22"/>
              </w:rPr>
            </w:pPr>
            <w:r>
              <w:rPr>
                <w:i/>
              </w:rPr>
              <w:t>(Isto za osnovna i sveobuhvatna mjerila)</w:t>
            </w:r>
          </w:p>
          <w:p w:rsidR="00D9472D" w:rsidRDefault="002E5D08">
            <w:pPr>
              <w:tabs>
                <w:tab w:val="left" w:pos="1951"/>
                <w:tab w:val="left" w:pos="4502"/>
              </w:tabs>
              <w:rPr>
                <w:i/>
                <w:szCs w:val="22"/>
              </w:rPr>
            </w:pPr>
            <w:r>
              <w:rPr>
                <w:i/>
              </w:rPr>
              <w:t>(Za primjene kod kojih je potrebna</w:t>
            </w:r>
            <w:r>
              <w:rPr>
                <w:i/>
              </w:rPr>
              <w:t xml:space="preserve"> otpornost filma na gljivice i obrastanje algama)</w:t>
            </w:r>
          </w:p>
          <w:p w:rsidR="00D9472D" w:rsidRDefault="00D9472D">
            <w:pPr>
              <w:tabs>
                <w:tab w:val="left" w:pos="1951"/>
                <w:tab w:val="left" w:pos="4502"/>
              </w:tabs>
              <w:rPr>
                <w:b/>
                <w:szCs w:val="22"/>
              </w:rPr>
            </w:pPr>
          </w:p>
          <w:p w:rsidR="00D9472D" w:rsidRDefault="002E5D08">
            <w:pPr>
              <w:rPr>
                <w:noProof/>
                <w:szCs w:val="22"/>
              </w:rPr>
            </w:pPr>
            <w:r>
              <w:t xml:space="preserve">Osnovne boje koje se upotrebljavaju za vanjske zidove i drvo i za koje su potrebna svojstva otpornosti na gljivice i/ili obrastanje algama trebale bi ispuniti zahtjeve iz tablice 9. </w:t>
            </w:r>
          </w:p>
          <w:p w:rsidR="00D9472D" w:rsidRDefault="00D9472D">
            <w:pPr>
              <w:rPr>
                <w:noProof/>
                <w:szCs w:val="22"/>
              </w:rPr>
            </w:pPr>
          </w:p>
          <w:p w:rsidR="00D9472D" w:rsidRDefault="002E5D08">
            <w:pPr>
              <w:pStyle w:val="StyleCaption11ptItalic"/>
              <w:rPr>
                <w:noProof/>
              </w:rPr>
            </w:pPr>
            <w:r>
              <w:t>Tablica </w:t>
            </w:r>
            <w:r>
              <w:fldChar w:fldCharType="begin"/>
            </w:r>
            <w:r>
              <w:instrText xml:space="preserve"> SEQ Table \* ARABIC </w:instrText>
            </w:r>
            <w:r>
              <w:fldChar w:fldCharType="separate"/>
            </w:r>
            <w:r>
              <w:rPr>
                <w:noProof/>
              </w:rPr>
              <w:t>9</w:t>
            </w:r>
            <w:r>
              <w:rPr>
                <w:noProof/>
              </w:rPr>
              <w:fldChar w:fldCharType="end"/>
            </w:r>
            <w:r>
              <w:t>. Zahtjevi za otpornost na gljivice i obrastanje algama</w:t>
            </w:r>
          </w:p>
          <w:tbl>
            <w:tblPr>
              <w:tblStyle w:val="TableGrid"/>
              <w:tblW w:w="0" w:type="auto"/>
              <w:tblLayout w:type="fixed"/>
              <w:tblLook w:val="04A0" w:firstRow="1" w:lastRow="0" w:firstColumn="1" w:lastColumn="0" w:noHBand="0" w:noVBand="1"/>
            </w:tblPr>
            <w:tblGrid>
              <w:gridCol w:w="1589"/>
              <w:gridCol w:w="2126"/>
              <w:gridCol w:w="1985"/>
            </w:tblGrid>
            <w:tr w:rsidR="00D9472D">
              <w:tc>
                <w:tcPr>
                  <w:tcW w:w="1589" w:type="dxa"/>
                </w:tcPr>
                <w:p w:rsidR="00D9472D" w:rsidRDefault="002E5D08">
                  <w:pPr>
                    <w:rPr>
                      <w:b/>
                      <w:noProof/>
                      <w:szCs w:val="22"/>
                    </w:rPr>
                  </w:pPr>
                  <w:r>
                    <w:rPr>
                      <w:b/>
                      <w:noProof/>
                    </w:rPr>
                    <w:t>Primjena</w:t>
                  </w:r>
                </w:p>
              </w:tc>
              <w:tc>
                <w:tcPr>
                  <w:tcW w:w="2126" w:type="dxa"/>
                </w:tcPr>
                <w:p w:rsidR="00D9472D" w:rsidRDefault="002E5D08">
                  <w:pPr>
                    <w:rPr>
                      <w:b/>
                      <w:noProof/>
                      <w:szCs w:val="22"/>
                    </w:rPr>
                  </w:pPr>
                  <w:r>
                    <w:rPr>
                      <w:b/>
                      <w:noProof/>
                    </w:rPr>
                    <w:t>Otpornost na gljivice</w:t>
                  </w:r>
                </w:p>
              </w:tc>
              <w:tc>
                <w:tcPr>
                  <w:tcW w:w="1985" w:type="dxa"/>
                </w:tcPr>
                <w:p w:rsidR="00D9472D" w:rsidRDefault="002E5D08">
                  <w:pPr>
                    <w:rPr>
                      <w:b/>
                      <w:noProof/>
                      <w:szCs w:val="22"/>
                    </w:rPr>
                  </w:pPr>
                  <w:r>
                    <w:rPr>
                      <w:b/>
                      <w:noProof/>
                    </w:rPr>
                    <w:t>Otpornost na obrastanje algama</w:t>
                  </w:r>
                </w:p>
              </w:tc>
            </w:tr>
            <w:tr w:rsidR="00D9472D">
              <w:tc>
                <w:tcPr>
                  <w:tcW w:w="1589" w:type="dxa"/>
                </w:tcPr>
                <w:p w:rsidR="00D9472D" w:rsidRDefault="002E5D08">
                  <w:pPr>
                    <w:rPr>
                      <w:noProof/>
                      <w:szCs w:val="22"/>
                    </w:rPr>
                  </w:pPr>
                  <w:r>
                    <w:t xml:space="preserve">Zidne boje </w:t>
                  </w:r>
                </w:p>
              </w:tc>
              <w:tc>
                <w:tcPr>
                  <w:tcW w:w="2126" w:type="dxa"/>
                </w:tcPr>
                <w:p w:rsidR="00D9472D" w:rsidRDefault="002E5D08">
                  <w:pPr>
                    <w:rPr>
                      <w:noProof/>
                      <w:szCs w:val="22"/>
                    </w:rPr>
                  </w:pPr>
                  <w:r>
                    <w:t xml:space="preserve">Razred 1. ili niži </w:t>
                  </w:r>
                </w:p>
              </w:tc>
              <w:tc>
                <w:tcPr>
                  <w:tcW w:w="1985" w:type="dxa"/>
                </w:tcPr>
                <w:p w:rsidR="00D9472D" w:rsidRDefault="002E5D08">
                  <w:pPr>
                    <w:rPr>
                      <w:noProof/>
                      <w:szCs w:val="22"/>
                    </w:rPr>
                  </w:pPr>
                  <w:r>
                    <w:t>Ocjena 0</w:t>
                  </w:r>
                </w:p>
              </w:tc>
            </w:tr>
            <w:tr w:rsidR="00D9472D">
              <w:tc>
                <w:tcPr>
                  <w:tcW w:w="1589" w:type="dxa"/>
                </w:tcPr>
                <w:p w:rsidR="00D9472D" w:rsidRDefault="002E5D08">
                  <w:pPr>
                    <w:rPr>
                      <w:noProof/>
                      <w:szCs w:val="22"/>
                    </w:rPr>
                  </w:pPr>
                  <w:r>
                    <w:t>Boje za drvo</w:t>
                  </w:r>
                </w:p>
              </w:tc>
              <w:tc>
                <w:tcPr>
                  <w:tcW w:w="2126" w:type="dxa"/>
                </w:tcPr>
                <w:p w:rsidR="00D9472D" w:rsidRDefault="002E5D08">
                  <w:pPr>
                    <w:rPr>
                      <w:noProof/>
                      <w:szCs w:val="22"/>
                    </w:rPr>
                  </w:pPr>
                  <w:r>
                    <w:t>Razred 1. ili niži</w:t>
                  </w:r>
                </w:p>
              </w:tc>
              <w:tc>
                <w:tcPr>
                  <w:tcW w:w="1985" w:type="dxa"/>
                </w:tcPr>
                <w:p w:rsidR="00D9472D" w:rsidRDefault="002E5D08">
                  <w:pPr>
                    <w:rPr>
                      <w:noProof/>
                      <w:szCs w:val="22"/>
                    </w:rPr>
                  </w:pPr>
                  <w:r>
                    <w:t>Ocjena 0</w:t>
                  </w:r>
                </w:p>
              </w:tc>
            </w:tr>
          </w:tbl>
          <w:p w:rsidR="00D9472D" w:rsidRDefault="00D9472D">
            <w:pPr>
              <w:rPr>
                <w:noProof/>
                <w:szCs w:val="22"/>
              </w:rPr>
            </w:pPr>
          </w:p>
          <w:p w:rsidR="00D9472D" w:rsidRDefault="002E5D08">
            <w:pPr>
              <w:rPr>
                <w:b/>
                <w:noProof/>
                <w:szCs w:val="22"/>
              </w:rPr>
            </w:pPr>
            <w:r>
              <w:rPr>
                <w:b/>
                <w:noProof/>
              </w:rPr>
              <w:t>Provjera:</w:t>
            </w:r>
          </w:p>
          <w:p w:rsidR="00D9472D" w:rsidRDefault="002E5D08">
            <w:pPr>
              <w:rPr>
                <w:noProof/>
                <w:szCs w:val="22"/>
              </w:rPr>
            </w:pPr>
            <w:r>
              <w:t>Ponuditelj dostavlja rezultate ispitivanja koji pokazuju usklađenost s metodama ispitivanja EN 15457 i/ili EN 15458 ili jednakovrijednim metodama. Za premaze koji sadržavaju biocide enkapsulirane u suhom sloju prihvaćaju se i izmijenjeni protokoli uvjetova</w:t>
            </w:r>
            <w:r>
              <w:t>nja. Proizvođači dostavljaju informacije o svim promjenama uvjetovanja te rezultate ispitivanja u skladu s normama EN 15457 i/ili 15458.</w:t>
            </w:r>
          </w:p>
          <w:p w:rsidR="00D9472D" w:rsidRDefault="002E5D08">
            <w:pPr>
              <w:rPr>
                <w:noProof/>
                <w:szCs w:val="22"/>
              </w:rPr>
            </w:pPr>
            <w:r>
              <w:t>Proizvodi kojima je dodijeljen znak za okoliš EU-a za boje i lakove, kako je utvrđeno Odlukom Komisije (EU) 2014/312/EU</w:t>
            </w:r>
            <w:r>
              <w:t>, smatraju se usklađenima.</w:t>
            </w:r>
          </w:p>
          <w:p w:rsidR="00D9472D" w:rsidRDefault="00D9472D">
            <w:pPr>
              <w:rPr>
                <w:noProof/>
                <w:szCs w:val="22"/>
              </w:rPr>
            </w:pPr>
          </w:p>
        </w:tc>
      </w:tr>
      <w:tr w:rsidR="00D9472D">
        <w:tc>
          <w:tcPr>
            <w:tcW w:w="5000" w:type="pct"/>
            <w:gridSpan w:val="2"/>
            <w:shd w:val="clear" w:color="auto" w:fill="auto"/>
          </w:tcPr>
          <w:p w:rsidR="00D9472D" w:rsidRDefault="002E5D08">
            <w:pPr>
              <w:tabs>
                <w:tab w:val="left" w:pos="1951"/>
                <w:tab w:val="left" w:pos="4502"/>
              </w:tabs>
              <w:rPr>
                <w:b/>
                <w:szCs w:val="22"/>
              </w:rPr>
            </w:pPr>
            <w:r>
              <w:rPr>
                <w:b/>
              </w:rPr>
              <w:t>2.5. Abrazivna otpornost podnih boja</w:t>
            </w:r>
          </w:p>
          <w:p w:rsidR="00D9472D" w:rsidRDefault="002E5D08">
            <w:pPr>
              <w:tabs>
                <w:tab w:val="left" w:pos="1951"/>
                <w:tab w:val="left" w:pos="4502"/>
              </w:tabs>
              <w:rPr>
                <w:i/>
                <w:szCs w:val="22"/>
              </w:rPr>
            </w:pPr>
            <w:r>
              <w:rPr>
                <w:i/>
              </w:rPr>
              <w:t>(Isto za osnovna i sveobuhvatna mjerila)</w:t>
            </w:r>
          </w:p>
          <w:p w:rsidR="00D9472D" w:rsidRDefault="00D9472D">
            <w:pPr>
              <w:tabs>
                <w:tab w:val="left" w:pos="1951"/>
                <w:tab w:val="left" w:pos="4502"/>
              </w:tabs>
              <w:rPr>
                <w:szCs w:val="22"/>
              </w:rPr>
            </w:pPr>
          </w:p>
          <w:p w:rsidR="00D9472D" w:rsidRDefault="002E5D08">
            <w:pPr>
              <w:rPr>
                <w:noProof/>
                <w:szCs w:val="22"/>
              </w:rPr>
            </w:pPr>
            <w:r>
              <w:t>Podni premazi i podne boje imaju abrazivnu otpornost koja ne prelazi gubitak mase od 70 mg nakon 1000 ispitnih ciklusa uz opterećenje od 1000 g i ko</w:t>
            </w:r>
            <w:r>
              <w:t xml:space="preserve">tač CS10 u skladu s normom EN ISO 7784-2. </w:t>
            </w:r>
          </w:p>
          <w:p w:rsidR="00D9472D" w:rsidRDefault="00D9472D">
            <w:pPr>
              <w:rPr>
                <w:noProof/>
                <w:szCs w:val="22"/>
              </w:rPr>
            </w:pPr>
          </w:p>
          <w:p w:rsidR="00D9472D" w:rsidRDefault="002E5D08">
            <w:pPr>
              <w:rPr>
                <w:b/>
                <w:noProof/>
                <w:szCs w:val="22"/>
              </w:rPr>
            </w:pPr>
            <w:r>
              <w:rPr>
                <w:b/>
                <w:noProof/>
              </w:rPr>
              <w:t>Provjera:</w:t>
            </w:r>
          </w:p>
          <w:p w:rsidR="00D9472D" w:rsidRDefault="002E5D08">
            <w:pPr>
              <w:rPr>
                <w:noProof/>
                <w:szCs w:val="22"/>
              </w:rPr>
            </w:pPr>
            <w:r>
              <w:t>Ponuditelj dostavlja rezultate ispitivanja provedenih u skladu s normom EN ISO 7784-2 ili jednakovrijednom normom.</w:t>
            </w:r>
          </w:p>
          <w:p w:rsidR="00D9472D" w:rsidRDefault="002E5D08">
            <w:pPr>
              <w:rPr>
                <w:noProof/>
                <w:szCs w:val="22"/>
              </w:rPr>
            </w:pPr>
            <w:r>
              <w:t xml:space="preserve">Proizvodi kojima je dodijeljen znak za okoliš EU-a za boje i lakove, kako je utvrđeno </w:t>
            </w:r>
            <w:r>
              <w:t>Odlukom Komisije (EU) 2014/312/EU, smatraju se usklađenima.</w:t>
            </w:r>
          </w:p>
          <w:p w:rsidR="00D9472D" w:rsidRDefault="00D9472D">
            <w:pPr>
              <w:rPr>
                <w:noProof/>
                <w:szCs w:val="22"/>
              </w:rPr>
            </w:pPr>
          </w:p>
        </w:tc>
      </w:tr>
      <w:tr w:rsidR="00D9472D">
        <w:tc>
          <w:tcPr>
            <w:tcW w:w="5000" w:type="pct"/>
            <w:gridSpan w:val="2"/>
            <w:shd w:val="clear" w:color="auto" w:fill="auto"/>
          </w:tcPr>
          <w:p w:rsidR="00D9472D" w:rsidRDefault="002E5D08">
            <w:pPr>
              <w:tabs>
                <w:tab w:val="left" w:pos="1951"/>
                <w:tab w:val="left" w:pos="4502"/>
              </w:tabs>
              <w:rPr>
                <w:b/>
                <w:szCs w:val="22"/>
              </w:rPr>
            </w:pPr>
            <w:r>
              <w:rPr>
                <w:b/>
              </w:rPr>
              <w:t>2.6. Pakiranje</w:t>
            </w:r>
          </w:p>
          <w:p w:rsidR="00D9472D" w:rsidRDefault="002E5D08">
            <w:pPr>
              <w:tabs>
                <w:tab w:val="left" w:pos="1951"/>
                <w:tab w:val="left" w:pos="4502"/>
              </w:tabs>
              <w:rPr>
                <w:i/>
                <w:szCs w:val="22"/>
              </w:rPr>
            </w:pPr>
            <w:r>
              <w:rPr>
                <w:i/>
              </w:rPr>
              <w:t>(Isto za osnovna i sveobuhvatna mjerila)</w:t>
            </w:r>
          </w:p>
          <w:p w:rsidR="00D9472D" w:rsidRDefault="002E5D08">
            <w:pPr>
              <w:tabs>
                <w:tab w:val="left" w:pos="1951"/>
                <w:tab w:val="left" w:pos="4502"/>
              </w:tabs>
              <w:rPr>
                <w:i/>
                <w:szCs w:val="22"/>
              </w:rPr>
            </w:pPr>
            <w:r>
              <w:t>Boje bi trebalo dostavljati u spremnicima od (najmanje) X litara</w:t>
            </w:r>
            <w:r>
              <w:rPr>
                <w:i/>
              </w:rPr>
              <w:t xml:space="preserve"> (treba odlučiti javno tijelo kako bi se smanjila količina ambalaže).</w:t>
            </w:r>
          </w:p>
          <w:p w:rsidR="00D9472D" w:rsidRDefault="00D9472D">
            <w:pPr>
              <w:tabs>
                <w:tab w:val="left" w:pos="1951"/>
                <w:tab w:val="left" w:pos="4502"/>
              </w:tabs>
              <w:rPr>
                <w:i/>
                <w:szCs w:val="22"/>
              </w:rPr>
            </w:pPr>
          </w:p>
        </w:tc>
      </w:tr>
      <w:tr w:rsidR="00D9472D">
        <w:tc>
          <w:tcPr>
            <w:tcW w:w="5000" w:type="pct"/>
            <w:gridSpan w:val="2"/>
            <w:shd w:val="clear" w:color="auto" w:fill="92D050"/>
          </w:tcPr>
          <w:p w:rsidR="00D9472D" w:rsidRDefault="002E5D08">
            <w:pPr>
              <w:spacing w:before="40" w:after="40"/>
              <w:jc w:val="center"/>
              <w:rPr>
                <w:b/>
                <w:szCs w:val="22"/>
              </w:rPr>
            </w:pPr>
            <w:r>
              <w:rPr>
                <w:b/>
              </w:rPr>
              <w:t>MJ</w:t>
            </w:r>
            <w:r>
              <w:rPr>
                <w:b/>
              </w:rPr>
              <w:t>ERILA ZA DODJELU</w:t>
            </w:r>
          </w:p>
        </w:tc>
      </w:tr>
      <w:tr w:rsidR="00D9472D">
        <w:tc>
          <w:tcPr>
            <w:tcW w:w="2494" w:type="pct"/>
            <w:shd w:val="clear" w:color="auto" w:fill="auto"/>
          </w:tcPr>
          <w:p w:rsidR="00D9472D" w:rsidRDefault="00D9472D">
            <w:pPr>
              <w:rPr>
                <w:szCs w:val="22"/>
              </w:rPr>
            </w:pPr>
          </w:p>
        </w:tc>
        <w:tc>
          <w:tcPr>
            <w:tcW w:w="2506" w:type="pct"/>
            <w:shd w:val="clear" w:color="auto" w:fill="auto"/>
          </w:tcPr>
          <w:p w:rsidR="00D9472D" w:rsidRDefault="002E5D08">
            <w:pPr>
              <w:tabs>
                <w:tab w:val="left" w:pos="1951"/>
                <w:tab w:val="left" w:pos="4502"/>
              </w:tabs>
              <w:rPr>
                <w:b/>
                <w:szCs w:val="22"/>
              </w:rPr>
            </w:pPr>
            <w:r>
              <w:rPr>
                <w:b/>
              </w:rPr>
              <w:t>1. Udio poluhlapivih organskih spojeva</w:t>
            </w:r>
          </w:p>
          <w:p w:rsidR="00D9472D" w:rsidRDefault="00D9472D">
            <w:pPr>
              <w:tabs>
                <w:tab w:val="left" w:pos="1951"/>
                <w:tab w:val="left" w:pos="4502"/>
              </w:tabs>
              <w:rPr>
                <w:b/>
                <w:szCs w:val="22"/>
              </w:rPr>
            </w:pPr>
          </w:p>
          <w:p w:rsidR="00D9472D" w:rsidRDefault="002E5D08">
            <w:pPr>
              <w:rPr>
                <w:noProof/>
                <w:szCs w:val="22"/>
              </w:rPr>
            </w:pPr>
            <w:r>
              <w:t>Dodjeljuju se bodovi ako je udio poluhlapivih organskih spojeva (PHOS-ovi) u boji jednak graničnim vrijednostima utvrđenima u tablici 10. ili manji od njih.</w:t>
            </w:r>
          </w:p>
          <w:p w:rsidR="00D9472D" w:rsidRDefault="00D9472D">
            <w:pPr>
              <w:rPr>
                <w:noProof/>
                <w:szCs w:val="22"/>
              </w:rPr>
            </w:pPr>
          </w:p>
          <w:p w:rsidR="00D9472D" w:rsidRDefault="002E5D08">
            <w:pPr>
              <w:rPr>
                <w:noProof/>
                <w:szCs w:val="22"/>
              </w:rPr>
            </w:pPr>
            <w:r>
              <w:t xml:space="preserve">Udio poluhlapivih organskih spojeva </w:t>
            </w:r>
            <w:r>
              <w:t>određuje se za gotove proizvode spremne za uporabu i uključuje sve preporučene dodatke prije nanošenja, kao što su koloranti i/ili razrjeđivači.</w:t>
            </w:r>
          </w:p>
          <w:p w:rsidR="00D9472D" w:rsidRDefault="00D9472D">
            <w:pPr>
              <w:rPr>
                <w:noProof/>
                <w:szCs w:val="22"/>
              </w:rPr>
            </w:pPr>
          </w:p>
          <w:p w:rsidR="00D9472D" w:rsidRDefault="002E5D08">
            <w:pPr>
              <w:pStyle w:val="StyleCaption11ptItalic"/>
              <w:rPr>
                <w:szCs w:val="22"/>
              </w:rPr>
            </w:pPr>
            <w:r>
              <w:t>Tablica </w:t>
            </w:r>
            <w:r>
              <w:fldChar w:fldCharType="begin"/>
            </w:r>
            <w:r>
              <w:instrText xml:space="preserve"> SEQ Table \* ARABIC </w:instrText>
            </w:r>
            <w:r>
              <w:fldChar w:fldCharType="separate"/>
            </w:r>
            <w:r>
              <w:rPr>
                <w:noProof/>
              </w:rPr>
              <w:t>10</w:t>
            </w:r>
            <w:r>
              <w:rPr>
                <w:noProof/>
              </w:rPr>
              <w:fldChar w:fldCharType="end"/>
            </w:r>
            <w:r>
              <w:t>. Granične vrijednosti udjela poluhlapivih organskih spojeva</w:t>
            </w:r>
          </w:p>
          <w:tbl>
            <w:tblPr>
              <w:tblW w:w="6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42"/>
              <w:gridCol w:w="2355"/>
            </w:tblGrid>
            <w:tr w:rsidR="00D9472D" w:rsidTr="00F6385C">
              <w:trPr>
                <w:jc w:val="center"/>
              </w:trPr>
              <w:tc>
                <w:tcPr>
                  <w:tcW w:w="3742" w:type="dxa"/>
                </w:tcPr>
                <w:p w:rsidR="00D9472D" w:rsidRDefault="002E5D08">
                  <w:pPr>
                    <w:rPr>
                      <w:b/>
                      <w:bCs/>
                      <w:szCs w:val="22"/>
                    </w:rPr>
                  </w:pPr>
                  <w:r>
                    <w:rPr>
                      <w:b/>
                    </w:rPr>
                    <w:t xml:space="preserve">Opis proizvoda </w:t>
                  </w:r>
                  <w:r>
                    <w:rPr>
                      <w:color w:val="000000"/>
                    </w:rPr>
                    <w:t>(potkategorije u skladu s Direktivom 2004/42/EZ)</w:t>
                  </w:r>
                </w:p>
              </w:tc>
              <w:tc>
                <w:tcPr>
                  <w:tcW w:w="2355" w:type="dxa"/>
                </w:tcPr>
                <w:p w:rsidR="00D9472D" w:rsidRDefault="002E5D08">
                  <w:pPr>
                    <w:ind w:left="850" w:hanging="850"/>
                    <w:jc w:val="center"/>
                    <w:rPr>
                      <w:b/>
                      <w:bCs/>
                      <w:szCs w:val="22"/>
                    </w:rPr>
                  </w:pPr>
                  <w:r>
                    <w:rPr>
                      <w:b/>
                    </w:rPr>
                    <w:t xml:space="preserve">Granične vrijednosti poluhlapivih organskih spojeva </w:t>
                  </w:r>
                </w:p>
                <w:p w:rsidR="00D9472D" w:rsidRDefault="002E5D08">
                  <w:pPr>
                    <w:jc w:val="center"/>
                    <w:rPr>
                      <w:b/>
                      <w:bCs/>
                      <w:szCs w:val="22"/>
                    </w:rPr>
                  </w:pPr>
                  <w:r>
                    <w:rPr>
                      <w:b/>
                    </w:rPr>
                    <w:t>(g/l uključujući</w:t>
                  </w:r>
                </w:p>
                <w:p w:rsidR="00D9472D" w:rsidRDefault="002E5D08">
                  <w:pPr>
                    <w:jc w:val="center"/>
                    <w:rPr>
                      <w:b/>
                      <w:bCs/>
                      <w:szCs w:val="22"/>
                    </w:rPr>
                  </w:pPr>
                  <w:r>
                    <w:rPr>
                      <w:b/>
                    </w:rPr>
                    <w:t>vodu)</w:t>
                  </w:r>
                </w:p>
              </w:tc>
            </w:tr>
            <w:tr w:rsidR="00D9472D" w:rsidTr="00F6385C">
              <w:trPr>
                <w:jc w:val="center"/>
              </w:trPr>
              <w:tc>
                <w:tcPr>
                  <w:tcW w:w="3742" w:type="dxa"/>
                </w:tcPr>
                <w:p w:rsidR="00D9472D" w:rsidRDefault="002E5D08">
                  <w:pPr>
                    <w:ind w:left="249" w:hanging="249"/>
                    <w:rPr>
                      <w:szCs w:val="22"/>
                    </w:rPr>
                  </w:pPr>
                  <w:r>
                    <w:t xml:space="preserve">a. Mat premazi za unutarnje zidove i stropove (stupanj sjaja &lt; 25 pri 60 °) </w:t>
                  </w:r>
                </w:p>
              </w:tc>
              <w:tc>
                <w:tcPr>
                  <w:tcW w:w="2355" w:type="dxa"/>
                </w:tcPr>
                <w:p w:rsidR="00D9472D" w:rsidRDefault="002E5D08">
                  <w:pPr>
                    <w:ind w:left="850" w:hanging="850"/>
                    <w:jc w:val="center"/>
                    <w:rPr>
                      <w:szCs w:val="22"/>
                    </w:rPr>
                  </w:pPr>
                  <w:r>
                    <w:t>30</w:t>
                  </w:r>
                  <w:r>
                    <w:rPr>
                      <w:vertAlign w:val="superscript"/>
                    </w:rPr>
                    <w:t>1</w:t>
                  </w:r>
                  <w:r>
                    <w:t>/40</w:t>
                  </w:r>
                  <w:r>
                    <w:rPr>
                      <w:vertAlign w:val="superscript"/>
                    </w:rPr>
                    <w:t>2</w:t>
                  </w:r>
                </w:p>
              </w:tc>
            </w:tr>
            <w:tr w:rsidR="00D9472D" w:rsidTr="00F6385C">
              <w:trPr>
                <w:jc w:val="center"/>
              </w:trPr>
              <w:tc>
                <w:tcPr>
                  <w:tcW w:w="3742" w:type="dxa"/>
                </w:tcPr>
                <w:p w:rsidR="00D9472D" w:rsidRDefault="002E5D08">
                  <w:pPr>
                    <w:ind w:left="249" w:hanging="249"/>
                    <w:rPr>
                      <w:szCs w:val="22"/>
                    </w:rPr>
                  </w:pPr>
                  <w:r>
                    <w:t xml:space="preserve">b. Sjajni premazi za unutarnje zidove i stropove (stupanj sjaja &gt; 25 pri 60 °) </w:t>
                  </w:r>
                </w:p>
              </w:tc>
              <w:tc>
                <w:tcPr>
                  <w:tcW w:w="2355" w:type="dxa"/>
                </w:tcPr>
                <w:p w:rsidR="00D9472D" w:rsidRDefault="002E5D08">
                  <w:pPr>
                    <w:ind w:left="850" w:hanging="850"/>
                    <w:jc w:val="center"/>
                    <w:rPr>
                      <w:szCs w:val="22"/>
                    </w:rPr>
                  </w:pPr>
                  <w:r>
                    <w:t>30</w:t>
                  </w:r>
                  <w:r>
                    <w:rPr>
                      <w:vertAlign w:val="superscript"/>
                    </w:rPr>
                    <w:t>1</w:t>
                  </w:r>
                  <w:r>
                    <w:t>/40</w:t>
                  </w:r>
                  <w:r>
                    <w:rPr>
                      <w:vertAlign w:val="superscript"/>
                    </w:rPr>
                    <w:t>2</w:t>
                  </w:r>
                </w:p>
              </w:tc>
            </w:tr>
            <w:tr w:rsidR="00D9472D" w:rsidTr="00F6385C">
              <w:trPr>
                <w:jc w:val="center"/>
              </w:trPr>
              <w:tc>
                <w:tcPr>
                  <w:tcW w:w="3742" w:type="dxa"/>
                </w:tcPr>
                <w:p w:rsidR="00D9472D" w:rsidRDefault="002E5D08">
                  <w:pPr>
                    <w:ind w:left="249" w:hanging="249"/>
                    <w:rPr>
                      <w:szCs w:val="22"/>
                    </w:rPr>
                  </w:pPr>
                  <w:r>
                    <w:t xml:space="preserve">c. Premazi za vanjske zidove od mineralnih supstrata </w:t>
                  </w:r>
                </w:p>
              </w:tc>
              <w:tc>
                <w:tcPr>
                  <w:tcW w:w="2355" w:type="dxa"/>
                </w:tcPr>
                <w:p w:rsidR="00D9472D" w:rsidRDefault="002E5D08">
                  <w:pPr>
                    <w:ind w:left="850" w:hanging="850"/>
                    <w:jc w:val="center"/>
                    <w:rPr>
                      <w:szCs w:val="22"/>
                    </w:rPr>
                  </w:pPr>
                  <w:r>
                    <w:t>40</w:t>
                  </w:r>
                </w:p>
              </w:tc>
            </w:tr>
            <w:tr w:rsidR="00D9472D" w:rsidTr="00F6385C">
              <w:trPr>
                <w:jc w:val="center"/>
              </w:trPr>
              <w:tc>
                <w:tcPr>
                  <w:tcW w:w="3742" w:type="dxa"/>
                </w:tcPr>
                <w:p w:rsidR="00D9472D" w:rsidRDefault="002E5D08">
                  <w:pPr>
                    <w:ind w:left="249" w:hanging="249"/>
                    <w:rPr>
                      <w:szCs w:val="22"/>
                    </w:rPr>
                  </w:pPr>
                  <w:r>
                    <w:t xml:space="preserve">d. Boje za unutarnje/vanjsko ukrašavanje i oblaganje drveta i metala </w:t>
                  </w:r>
                </w:p>
              </w:tc>
              <w:tc>
                <w:tcPr>
                  <w:tcW w:w="2355" w:type="dxa"/>
                </w:tcPr>
                <w:p w:rsidR="00D9472D" w:rsidRDefault="002E5D08">
                  <w:pPr>
                    <w:ind w:left="850" w:hanging="850"/>
                    <w:jc w:val="center"/>
                    <w:rPr>
                      <w:szCs w:val="22"/>
                    </w:rPr>
                  </w:pPr>
                  <w:r>
                    <w:t>50</w:t>
                  </w:r>
                  <w:r>
                    <w:rPr>
                      <w:vertAlign w:val="superscript"/>
                    </w:rPr>
                    <w:t>1</w:t>
                  </w:r>
                  <w:r>
                    <w:t>/60</w:t>
                  </w:r>
                  <w:r>
                    <w:rPr>
                      <w:vertAlign w:val="superscript"/>
                    </w:rPr>
                    <w:t>2</w:t>
                  </w:r>
                </w:p>
              </w:tc>
            </w:tr>
            <w:tr w:rsidR="00D9472D" w:rsidTr="00F6385C">
              <w:trPr>
                <w:jc w:val="center"/>
              </w:trPr>
              <w:tc>
                <w:tcPr>
                  <w:tcW w:w="3742" w:type="dxa"/>
                </w:tcPr>
                <w:p w:rsidR="00D9472D" w:rsidRDefault="002E5D08">
                  <w:pPr>
                    <w:ind w:left="249" w:hanging="249"/>
                    <w:rPr>
                      <w:szCs w:val="22"/>
                    </w:rPr>
                  </w:pPr>
                  <w:r>
                    <w:t>e. Lakovi i lazurni premazi za</w:t>
                  </w:r>
                  <w:r>
                    <w:t xml:space="preserve"> drvo za ukrašavanje, uključujući neprozirne lazurne premaze za drvo za unutarnje uređenje </w:t>
                  </w:r>
                </w:p>
              </w:tc>
              <w:tc>
                <w:tcPr>
                  <w:tcW w:w="2355" w:type="dxa"/>
                </w:tcPr>
                <w:p w:rsidR="00D9472D" w:rsidRDefault="002E5D08">
                  <w:pPr>
                    <w:ind w:left="850" w:hanging="850"/>
                    <w:jc w:val="center"/>
                    <w:rPr>
                      <w:szCs w:val="22"/>
                    </w:rPr>
                  </w:pPr>
                  <w:r>
                    <w:t>30</w:t>
                  </w:r>
                </w:p>
              </w:tc>
            </w:tr>
            <w:tr w:rsidR="00D9472D" w:rsidTr="00F6385C">
              <w:trPr>
                <w:jc w:val="center"/>
              </w:trPr>
              <w:tc>
                <w:tcPr>
                  <w:tcW w:w="3742" w:type="dxa"/>
                </w:tcPr>
                <w:p w:rsidR="00D9472D" w:rsidRDefault="002E5D08">
                  <w:pPr>
                    <w:ind w:left="249" w:hanging="249"/>
                    <w:rPr>
                      <w:szCs w:val="22"/>
                    </w:rPr>
                  </w:pPr>
                  <w:r>
                    <w:t>e. Lakovi i lazurni premazi za drvo za ukrašavanje, uključujući neprozirne lazurne premaze za drvo za vanjsko uređenje</w:t>
                  </w:r>
                </w:p>
              </w:tc>
              <w:tc>
                <w:tcPr>
                  <w:tcW w:w="2355" w:type="dxa"/>
                </w:tcPr>
                <w:p w:rsidR="00D9472D" w:rsidRDefault="002E5D08">
                  <w:pPr>
                    <w:ind w:left="850" w:hanging="850"/>
                    <w:jc w:val="center"/>
                    <w:rPr>
                      <w:szCs w:val="22"/>
                    </w:rPr>
                  </w:pPr>
                  <w:r>
                    <w:t>60</w:t>
                  </w:r>
                </w:p>
              </w:tc>
            </w:tr>
            <w:tr w:rsidR="00D9472D" w:rsidTr="00F6385C">
              <w:trPr>
                <w:jc w:val="center"/>
              </w:trPr>
              <w:tc>
                <w:tcPr>
                  <w:tcW w:w="3742" w:type="dxa"/>
                </w:tcPr>
                <w:p w:rsidR="00D9472D" w:rsidRDefault="002E5D08">
                  <w:pPr>
                    <w:ind w:left="249" w:hanging="249"/>
                    <w:rPr>
                      <w:szCs w:val="22"/>
                    </w:rPr>
                  </w:pPr>
                  <w:r>
                    <w:t xml:space="preserve">f. Tankoslojne lazure za drvo za unutarnje i vanjsko uređenje </w:t>
                  </w:r>
                </w:p>
              </w:tc>
              <w:tc>
                <w:tcPr>
                  <w:tcW w:w="2355" w:type="dxa"/>
                </w:tcPr>
                <w:p w:rsidR="00D9472D" w:rsidRDefault="002E5D08">
                  <w:pPr>
                    <w:ind w:left="850" w:hanging="850"/>
                    <w:jc w:val="center"/>
                    <w:rPr>
                      <w:szCs w:val="22"/>
                    </w:rPr>
                  </w:pPr>
                  <w:r>
                    <w:t>30</w:t>
                  </w:r>
                  <w:r>
                    <w:rPr>
                      <w:vertAlign w:val="superscript"/>
                    </w:rPr>
                    <w:t>1</w:t>
                  </w:r>
                  <w:r>
                    <w:t>/40</w:t>
                  </w:r>
                  <w:r>
                    <w:rPr>
                      <w:vertAlign w:val="superscript"/>
                    </w:rPr>
                    <w:t>2</w:t>
                  </w:r>
                </w:p>
              </w:tc>
            </w:tr>
            <w:tr w:rsidR="00D9472D" w:rsidTr="00F6385C">
              <w:trPr>
                <w:jc w:val="center"/>
              </w:trPr>
              <w:tc>
                <w:tcPr>
                  <w:tcW w:w="3742" w:type="dxa"/>
                </w:tcPr>
                <w:p w:rsidR="00D9472D" w:rsidRDefault="002E5D08">
                  <w:pPr>
                    <w:ind w:left="249" w:hanging="249"/>
                    <w:rPr>
                      <w:szCs w:val="22"/>
                    </w:rPr>
                  </w:pPr>
                  <w:r>
                    <w:t xml:space="preserve">g. Temeljni premazi </w:t>
                  </w:r>
                </w:p>
              </w:tc>
              <w:tc>
                <w:tcPr>
                  <w:tcW w:w="2355" w:type="dxa"/>
                </w:tcPr>
                <w:p w:rsidR="00D9472D" w:rsidRDefault="002E5D08">
                  <w:pPr>
                    <w:ind w:left="850" w:hanging="850"/>
                    <w:jc w:val="center"/>
                    <w:rPr>
                      <w:szCs w:val="22"/>
                    </w:rPr>
                  </w:pPr>
                  <w:r>
                    <w:t>30</w:t>
                  </w:r>
                  <w:r>
                    <w:rPr>
                      <w:vertAlign w:val="superscript"/>
                    </w:rPr>
                    <w:t>1</w:t>
                  </w:r>
                  <w:r>
                    <w:t>/40</w:t>
                  </w:r>
                  <w:r>
                    <w:rPr>
                      <w:vertAlign w:val="superscript"/>
                    </w:rPr>
                    <w:t>2</w:t>
                  </w:r>
                </w:p>
              </w:tc>
            </w:tr>
            <w:tr w:rsidR="00D9472D" w:rsidTr="00F6385C">
              <w:trPr>
                <w:jc w:val="center"/>
              </w:trPr>
              <w:tc>
                <w:tcPr>
                  <w:tcW w:w="3742" w:type="dxa"/>
                </w:tcPr>
                <w:p w:rsidR="00D9472D" w:rsidRDefault="002E5D08">
                  <w:pPr>
                    <w:ind w:left="249" w:hanging="249"/>
                    <w:rPr>
                      <w:szCs w:val="22"/>
                    </w:rPr>
                  </w:pPr>
                  <w:r>
                    <w:t xml:space="preserve">h. Vezujući temeljni premazi </w:t>
                  </w:r>
                </w:p>
              </w:tc>
              <w:tc>
                <w:tcPr>
                  <w:tcW w:w="2355" w:type="dxa"/>
                </w:tcPr>
                <w:p w:rsidR="00D9472D" w:rsidRDefault="002E5D08">
                  <w:pPr>
                    <w:ind w:left="850" w:hanging="850"/>
                    <w:jc w:val="center"/>
                    <w:rPr>
                      <w:szCs w:val="22"/>
                    </w:rPr>
                  </w:pPr>
                  <w:r>
                    <w:t>30</w:t>
                  </w:r>
                  <w:r>
                    <w:rPr>
                      <w:vertAlign w:val="superscript"/>
                    </w:rPr>
                    <w:t>1</w:t>
                  </w:r>
                  <w:r>
                    <w:t>/40</w:t>
                  </w:r>
                  <w:r>
                    <w:rPr>
                      <w:vertAlign w:val="superscript"/>
                    </w:rPr>
                    <w:t>2</w:t>
                  </w:r>
                </w:p>
              </w:tc>
            </w:tr>
            <w:tr w:rsidR="00D9472D" w:rsidTr="00F6385C">
              <w:trPr>
                <w:jc w:val="center"/>
              </w:trPr>
              <w:tc>
                <w:tcPr>
                  <w:tcW w:w="3742" w:type="dxa"/>
                </w:tcPr>
                <w:p w:rsidR="00D9472D" w:rsidRDefault="002E5D08">
                  <w:pPr>
                    <w:ind w:left="249" w:hanging="249"/>
                    <w:rPr>
                      <w:szCs w:val="22"/>
                    </w:rPr>
                  </w:pPr>
                  <w:r>
                    <w:t xml:space="preserve">i. Jednokomponentni funkcionalni premazi </w:t>
                  </w:r>
                </w:p>
              </w:tc>
              <w:tc>
                <w:tcPr>
                  <w:tcW w:w="2355" w:type="dxa"/>
                </w:tcPr>
                <w:p w:rsidR="00D9472D" w:rsidRDefault="002E5D08">
                  <w:pPr>
                    <w:ind w:left="850" w:hanging="850"/>
                    <w:jc w:val="center"/>
                    <w:rPr>
                      <w:szCs w:val="22"/>
                    </w:rPr>
                  </w:pPr>
                  <w:r>
                    <w:t>50</w:t>
                  </w:r>
                  <w:r>
                    <w:rPr>
                      <w:vertAlign w:val="superscript"/>
                    </w:rPr>
                    <w:t>1</w:t>
                  </w:r>
                  <w:r>
                    <w:t>/60</w:t>
                  </w:r>
                  <w:r>
                    <w:rPr>
                      <w:vertAlign w:val="superscript"/>
                    </w:rPr>
                    <w:t>2</w:t>
                  </w:r>
                </w:p>
              </w:tc>
            </w:tr>
            <w:tr w:rsidR="00D9472D" w:rsidTr="00F6385C">
              <w:trPr>
                <w:jc w:val="center"/>
              </w:trPr>
              <w:tc>
                <w:tcPr>
                  <w:tcW w:w="3742" w:type="dxa"/>
                </w:tcPr>
                <w:p w:rsidR="00D9472D" w:rsidRDefault="002E5D08">
                  <w:pPr>
                    <w:ind w:left="249" w:hanging="249"/>
                    <w:rPr>
                      <w:szCs w:val="22"/>
                    </w:rPr>
                  </w:pPr>
                  <w:r>
                    <w:t xml:space="preserve">j. Dvokomponentni funkcionalni premazi s reaktivnim djelovanjem </w:t>
                  </w:r>
                  <w:r>
                    <w:t xml:space="preserve">za posebnu konačnu primjenu, npr. za podove </w:t>
                  </w:r>
                </w:p>
              </w:tc>
              <w:tc>
                <w:tcPr>
                  <w:tcW w:w="2355" w:type="dxa"/>
                </w:tcPr>
                <w:p w:rsidR="00D9472D" w:rsidRDefault="002E5D08">
                  <w:pPr>
                    <w:ind w:left="850" w:hanging="850"/>
                    <w:jc w:val="center"/>
                    <w:rPr>
                      <w:szCs w:val="22"/>
                    </w:rPr>
                  </w:pPr>
                  <w:r>
                    <w:t>50</w:t>
                  </w:r>
                  <w:r>
                    <w:rPr>
                      <w:vertAlign w:val="superscript"/>
                    </w:rPr>
                    <w:t>1</w:t>
                  </w:r>
                  <w:r>
                    <w:t>/60</w:t>
                  </w:r>
                  <w:r>
                    <w:rPr>
                      <w:vertAlign w:val="superscript"/>
                    </w:rPr>
                    <w:t>2</w:t>
                  </w:r>
                </w:p>
              </w:tc>
            </w:tr>
            <w:tr w:rsidR="00D9472D" w:rsidTr="00F6385C">
              <w:trPr>
                <w:jc w:val="center"/>
              </w:trPr>
              <w:tc>
                <w:tcPr>
                  <w:tcW w:w="3742" w:type="dxa"/>
                </w:tcPr>
                <w:p w:rsidR="00D9472D" w:rsidRDefault="002E5D08">
                  <w:pPr>
                    <w:ind w:left="850" w:hanging="850"/>
                    <w:rPr>
                      <w:szCs w:val="22"/>
                    </w:rPr>
                  </w:pPr>
                  <w:r>
                    <w:t xml:space="preserve">Premazi s ukrasnim učinkom </w:t>
                  </w:r>
                </w:p>
              </w:tc>
              <w:tc>
                <w:tcPr>
                  <w:tcW w:w="2355" w:type="dxa"/>
                </w:tcPr>
                <w:p w:rsidR="00D9472D" w:rsidRDefault="002E5D08">
                  <w:pPr>
                    <w:ind w:left="850" w:hanging="850"/>
                    <w:jc w:val="center"/>
                    <w:rPr>
                      <w:szCs w:val="22"/>
                    </w:rPr>
                  </w:pPr>
                  <w:r>
                    <w:t>50</w:t>
                  </w:r>
                  <w:r>
                    <w:rPr>
                      <w:vertAlign w:val="superscript"/>
                    </w:rPr>
                    <w:t>1</w:t>
                  </w:r>
                  <w:r>
                    <w:t>/60</w:t>
                  </w:r>
                  <w:r>
                    <w:rPr>
                      <w:vertAlign w:val="superscript"/>
                    </w:rPr>
                    <w:t>2</w:t>
                  </w:r>
                </w:p>
              </w:tc>
            </w:tr>
            <w:tr w:rsidR="00D9472D" w:rsidTr="00F6385C">
              <w:trPr>
                <w:jc w:val="center"/>
              </w:trPr>
              <w:tc>
                <w:tcPr>
                  <w:tcW w:w="3742" w:type="dxa"/>
                </w:tcPr>
                <w:p w:rsidR="00D9472D" w:rsidRDefault="002E5D08">
                  <w:pPr>
                    <w:ind w:left="850" w:hanging="850"/>
                    <w:rPr>
                      <w:szCs w:val="22"/>
                    </w:rPr>
                  </w:pPr>
                  <w:r>
                    <w:t>Antikorozivne boje</w:t>
                  </w:r>
                </w:p>
              </w:tc>
              <w:tc>
                <w:tcPr>
                  <w:tcW w:w="2355" w:type="dxa"/>
                </w:tcPr>
                <w:p w:rsidR="00D9472D" w:rsidRDefault="002E5D08">
                  <w:pPr>
                    <w:ind w:left="850" w:hanging="850"/>
                    <w:jc w:val="center"/>
                    <w:rPr>
                      <w:szCs w:val="22"/>
                    </w:rPr>
                  </w:pPr>
                  <w:r>
                    <w:t>60</w:t>
                  </w:r>
                </w:p>
              </w:tc>
            </w:tr>
          </w:tbl>
          <w:p w:rsidR="00D9472D" w:rsidRDefault="002E5D08">
            <w:pPr>
              <w:rPr>
                <w:noProof/>
                <w:szCs w:val="22"/>
              </w:rPr>
            </w:pPr>
            <w:r>
              <w:t>Napomene:</w:t>
            </w:r>
          </w:p>
          <w:p w:rsidR="00D9472D" w:rsidRDefault="002E5D08">
            <w:pPr>
              <w:rPr>
                <w:noProof/>
                <w:sz w:val="18"/>
                <w:szCs w:val="18"/>
              </w:rPr>
            </w:pPr>
            <w:r>
              <w:rPr>
                <w:noProof/>
                <w:sz w:val="18"/>
                <w:vertAlign w:val="superscript"/>
              </w:rPr>
              <w:t>1</w:t>
            </w:r>
            <w:r>
              <w:rPr>
                <w:noProof/>
                <w:sz w:val="18"/>
              </w:rPr>
              <w:t xml:space="preserve"> Unutarnje bijele boje i lakovi</w:t>
            </w:r>
          </w:p>
          <w:p w:rsidR="00D9472D" w:rsidRDefault="002E5D08">
            <w:pPr>
              <w:rPr>
                <w:noProof/>
                <w:sz w:val="18"/>
                <w:szCs w:val="18"/>
              </w:rPr>
            </w:pPr>
            <w:r>
              <w:rPr>
                <w:noProof/>
                <w:sz w:val="18"/>
                <w:vertAlign w:val="superscript"/>
              </w:rPr>
              <w:t>2</w:t>
            </w:r>
            <w:r>
              <w:rPr>
                <w:noProof/>
                <w:sz w:val="18"/>
              </w:rPr>
              <w:t xml:space="preserve"> Unutarnje nijansirane boje / vanjske boje i lakovi</w:t>
            </w:r>
          </w:p>
          <w:p w:rsidR="00D9472D" w:rsidRDefault="00D9472D">
            <w:pPr>
              <w:rPr>
                <w:szCs w:val="22"/>
              </w:rPr>
            </w:pPr>
          </w:p>
          <w:p w:rsidR="00D9472D" w:rsidRDefault="002E5D08">
            <w:pPr>
              <w:tabs>
                <w:tab w:val="left" w:pos="3912"/>
              </w:tabs>
              <w:rPr>
                <w:b/>
                <w:szCs w:val="22"/>
              </w:rPr>
            </w:pPr>
            <w:r>
              <w:rPr>
                <w:b/>
              </w:rPr>
              <w:t>Provjera:</w:t>
            </w:r>
          </w:p>
          <w:p w:rsidR="00D9472D" w:rsidRDefault="002E5D08">
            <w:pPr>
              <w:rPr>
                <w:noProof/>
                <w:szCs w:val="22"/>
              </w:rPr>
            </w:pPr>
            <w:r>
              <w:t>Ponuditelj dostavlja ili:</w:t>
            </w:r>
          </w:p>
          <w:p w:rsidR="00D9472D" w:rsidRDefault="002E5D08">
            <w:pPr>
              <w:ind w:left="267"/>
              <w:rPr>
                <w:noProof/>
                <w:szCs w:val="22"/>
              </w:rPr>
            </w:pPr>
            <w:r>
              <w:t xml:space="preserve">a) </w:t>
            </w:r>
            <w:r>
              <w:t>izračun udjela poluhlapivih organskih spojeva potkrijepljen, ako je moguće, sigurnosno-tehničkim listovima ili</w:t>
            </w:r>
          </w:p>
          <w:p w:rsidR="00D9472D" w:rsidRDefault="002E5D08">
            <w:pPr>
              <w:ind w:left="267"/>
              <w:rPr>
                <w:noProof/>
                <w:szCs w:val="22"/>
              </w:rPr>
            </w:pPr>
            <w:r>
              <w:t>b) izvješće o ispitivanju koje je provedeno u skladu s normom ISO 11890-2. Uz to, primjenjuju se izmjene ispitivanja iz Priloga 3.</w:t>
            </w:r>
          </w:p>
          <w:p w:rsidR="00D9472D" w:rsidRDefault="002E5D08">
            <w:pPr>
              <w:rPr>
                <w:noProof/>
                <w:szCs w:val="22"/>
              </w:rPr>
            </w:pPr>
            <w:r>
              <w:t>Proizvodi koji</w:t>
            </w:r>
            <w:r>
              <w:t>ma je dodijeljen znak za okoliš EU-a za boje i lakove, kako je utvrđeno Odlukom Komisije (EU) 2014/312/EU, smatraju se usklađenima.</w:t>
            </w:r>
          </w:p>
          <w:p w:rsidR="00D9472D" w:rsidRDefault="00D9472D">
            <w:pPr>
              <w:rPr>
                <w:b/>
                <w:szCs w:val="22"/>
              </w:rPr>
            </w:pPr>
          </w:p>
        </w:tc>
      </w:tr>
    </w:tbl>
    <w:p w:rsidR="00D9472D" w:rsidRDefault="00D9472D">
      <w:pPr>
        <w:tabs>
          <w:tab w:val="left" w:pos="1951"/>
          <w:tab w:val="left" w:pos="4502"/>
        </w:tabs>
        <w:rPr>
          <w:b/>
          <w:szCs w:val="22"/>
        </w:rPr>
        <w:sectPr w:rsidR="00D9472D">
          <w:headerReference w:type="even" r:id="rId47"/>
          <w:headerReference w:type="default" r:id="rId48"/>
          <w:footerReference w:type="even" r:id="rId49"/>
          <w:footerReference w:type="default" r:id="rId50"/>
          <w:headerReference w:type="first" r:id="rId51"/>
          <w:footerReference w:type="first" r:id="rId52"/>
          <w:pgSz w:w="16838" w:h="11906" w:orient="landscape"/>
          <w:pgMar w:top="1800" w:right="1440" w:bottom="1800" w:left="1440" w:header="708" w:footer="708" w:gutter="0"/>
          <w:cols w:space="708"/>
          <w:titlePg/>
          <w:docGrid w:linePitch="360"/>
        </w:sectPr>
      </w:pPr>
    </w:p>
    <w:tbl>
      <w:tblPr>
        <w:tblW w:w="501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7"/>
        <w:gridCol w:w="7121"/>
      </w:tblGrid>
      <w:tr w:rsidR="00D9472D">
        <w:tc>
          <w:tcPr>
            <w:tcW w:w="2494" w:type="pct"/>
            <w:shd w:val="clear" w:color="auto" w:fill="auto"/>
          </w:tcPr>
          <w:p w:rsidR="00D9472D" w:rsidRDefault="002E5D08">
            <w:pPr>
              <w:tabs>
                <w:tab w:val="left" w:pos="1951"/>
                <w:tab w:val="left" w:pos="4502"/>
              </w:tabs>
              <w:rPr>
                <w:b/>
                <w:szCs w:val="22"/>
              </w:rPr>
            </w:pPr>
            <w:r>
              <w:rPr>
                <w:b/>
              </w:rPr>
              <w:t xml:space="preserve">2. </w:t>
            </w:r>
            <w:r>
              <w:rPr>
                <w:b/>
              </w:rPr>
              <w:t>Kvaliteta zraka u zatvorenom prostoru: boje za unutarnju primjenu</w:t>
            </w:r>
          </w:p>
          <w:p w:rsidR="00D9472D" w:rsidRDefault="00D9472D">
            <w:pPr>
              <w:tabs>
                <w:tab w:val="left" w:pos="1951"/>
                <w:tab w:val="left" w:pos="4502"/>
              </w:tabs>
              <w:rPr>
                <w:b/>
                <w:szCs w:val="22"/>
              </w:rPr>
            </w:pPr>
          </w:p>
          <w:p w:rsidR="00D9472D" w:rsidRDefault="002E5D08">
            <w:pPr>
              <w:rPr>
                <w:szCs w:val="22"/>
              </w:rPr>
            </w:pPr>
            <w:r>
              <w:t>Dodjeljuju se bodovi proizvodima s emisijama (ukupnih hlapivih organskih spojeva i/ili formaldehida) manjima od graničnih vrijednosti navedenih u tablici 11.</w:t>
            </w:r>
          </w:p>
          <w:p w:rsidR="00D9472D" w:rsidRDefault="00D9472D">
            <w:pPr>
              <w:rPr>
                <w:szCs w:val="22"/>
              </w:rPr>
            </w:pPr>
          </w:p>
          <w:p w:rsidR="00D9472D" w:rsidRDefault="002E5D08">
            <w:pPr>
              <w:pStyle w:val="StyleCaption11ptItalic"/>
            </w:pPr>
            <w:r>
              <w:t>Tablica </w:t>
            </w:r>
            <w:r>
              <w:fldChar w:fldCharType="begin"/>
            </w:r>
            <w:r>
              <w:instrText xml:space="preserve"> SEQ Table \* ARABIC </w:instrText>
            </w:r>
            <w:r>
              <w:fldChar w:fldCharType="separate"/>
            </w:r>
            <w:r>
              <w:rPr>
                <w:noProof/>
              </w:rPr>
              <w:t>11</w:t>
            </w:r>
            <w:r>
              <w:rPr>
                <w:noProof/>
              </w:rPr>
              <w:fldChar w:fldCharType="end"/>
            </w:r>
            <w:r>
              <w:t>. Granične vrijednosti emisija boja za unutarnju primjenu u zrak</w:t>
            </w:r>
          </w:p>
          <w:tbl>
            <w:tblPr>
              <w:tblStyle w:val="TableGrid"/>
              <w:tblW w:w="4565" w:type="dxa"/>
              <w:tblLayout w:type="fixed"/>
              <w:tblLook w:val="04A0" w:firstRow="1" w:lastRow="0" w:firstColumn="1" w:lastColumn="0" w:noHBand="0" w:noVBand="1"/>
            </w:tblPr>
            <w:tblGrid>
              <w:gridCol w:w="2014"/>
              <w:gridCol w:w="1276"/>
              <w:gridCol w:w="1275"/>
            </w:tblGrid>
            <w:tr w:rsidR="00D9472D">
              <w:tc>
                <w:tcPr>
                  <w:tcW w:w="2014" w:type="dxa"/>
                  <w:vMerge w:val="restart"/>
                  <w:vAlign w:val="center"/>
                </w:tcPr>
                <w:p w:rsidR="00D9472D" w:rsidRDefault="002E5D08">
                  <w:pPr>
                    <w:jc w:val="left"/>
                    <w:rPr>
                      <w:b/>
                      <w:szCs w:val="22"/>
                    </w:rPr>
                  </w:pPr>
                  <w:r>
                    <w:rPr>
                      <w:b/>
                    </w:rPr>
                    <w:t>Izvor emisije</w:t>
                  </w:r>
                </w:p>
              </w:tc>
              <w:tc>
                <w:tcPr>
                  <w:tcW w:w="2551" w:type="dxa"/>
                  <w:gridSpan w:val="2"/>
                </w:tcPr>
                <w:p w:rsidR="00D9472D" w:rsidRDefault="002E5D08">
                  <w:pPr>
                    <w:rPr>
                      <w:b/>
                      <w:szCs w:val="22"/>
                    </w:rPr>
                  </w:pPr>
                  <w:r>
                    <w:rPr>
                      <w:b/>
                    </w:rPr>
                    <w:t>Granične vrijednosti emisija (μg/m³)</w:t>
                  </w:r>
                </w:p>
              </w:tc>
            </w:tr>
            <w:tr w:rsidR="00D9472D">
              <w:tc>
                <w:tcPr>
                  <w:tcW w:w="2014" w:type="dxa"/>
                  <w:vMerge/>
                </w:tcPr>
                <w:p w:rsidR="00D9472D" w:rsidRDefault="00D9472D">
                  <w:pPr>
                    <w:rPr>
                      <w:b/>
                      <w:szCs w:val="22"/>
                    </w:rPr>
                  </w:pPr>
                </w:p>
              </w:tc>
              <w:tc>
                <w:tcPr>
                  <w:tcW w:w="1276" w:type="dxa"/>
                </w:tcPr>
                <w:p w:rsidR="00D9472D" w:rsidRDefault="002E5D08">
                  <w:pPr>
                    <w:jc w:val="center"/>
                    <w:rPr>
                      <w:b/>
                      <w:szCs w:val="22"/>
                    </w:rPr>
                  </w:pPr>
                  <w:r>
                    <w:rPr>
                      <w:b/>
                    </w:rPr>
                    <w:t>3 dana</w:t>
                  </w:r>
                </w:p>
              </w:tc>
              <w:tc>
                <w:tcPr>
                  <w:tcW w:w="1275" w:type="dxa"/>
                </w:tcPr>
                <w:p w:rsidR="00D9472D" w:rsidRDefault="002E5D08">
                  <w:pPr>
                    <w:jc w:val="center"/>
                    <w:rPr>
                      <w:b/>
                      <w:szCs w:val="22"/>
                    </w:rPr>
                  </w:pPr>
                  <w:r>
                    <w:rPr>
                      <w:b/>
                    </w:rPr>
                    <w:t>28 dana</w:t>
                  </w:r>
                </w:p>
              </w:tc>
            </w:tr>
            <w:tr w:rsidR="00D9472D">
              <w:tc>
                <w:tcPr>
                  <w:tcW w:w="2014" w:type="dxa"/>
                </w:tcPr>
                <w:p w:rsidR="00D9472D" w:rsidRDefault="002E5D08">
                  <w:pPr>
                    <w:rPr>
                      <w:szCs w:val="22"/>
                    </w:rPr>
                  </w:pPr>
                  <w:r>
                    <w:t>UHOS</w:t>
                  </w:r>
                  <w:r>
                    <w:rPr>
                      <w:vertAlign w:val="superscript"/>
                    </w:rPr>
                    <w:t>1</w:t>
                  </w:r>
                </w:p>
              </w:tc>
              <w:tc>
                <w:tcPr>
                  <w:tcW w:w="1276" w:type="dxa"/>
                </w:tcPr>
                <w:p w:rsidR="00D9472D" w:rsidRDefault="002E5D08">
                  <w:pPr>
                    <w:jc w:val="center"/>
                    <w:rPr>
                      <w:szCs w:val="22"/>
                    </w:rPr>
                  </w:pPr>
                  <w:r>
                    <w:t>10 000</w:t>
                  </w:r>
                </w:p>
              </w:tc>
              <w:tc>
                <w:tcPr>
                  <w:tcW w:w="1275" w:type="dxa"/>
                </w:tcPr>
                <w:p w:rsidR="00D9472D" w:rsidRDefault="002E5D08">
                  <w:pPr>
                    <w:jc w:val="center"/>
                    <w:rPr>
                      <w:szCs w:val="22"/>
                    </w:rPr>
                  </w:pPr>
                  <w:r>
                    <w:t>2000</w:t>
                  </w:r>
                </w:p>
              </w:tc>
            </w:tr>
            <w:tr w:rsidR="00D9472D">
              <w:tc>
                <w:tcPr>
                  <w:tcW w:w="2014" w:type="dxa"/>
                </w:tcPr>
                <w:p w:rsidR="00D9472D" w:rsidRDefault="002E5D08">
                  <w:pPr>
                    <w:rPr>
                      <w:szCs w:val="22"/>
                    </w:rPr>
                  </w:pPr>
                  <w:r>
                    <w:t>Formaldehid</w:t>
                  </w:r>
                </w:p>
              </w:tc>
              <w:tc>
                <w:tcPr>
                  <w:tcW w:w="1276" w:type="dxa"/>
                </w:tcPr>
                <w:p w:rsidR="00D9472D" w:rsidRDefault="002E5D08">
                  <w:pPr>
                    <w:jc w:val="center"/>
                    <w:rPr>
                      <w:szCs w:val="22"/>
                    </w:rPr>
                  </w:pPr>
                  <w:r>
                    <w:t>–</w:t>
                  </w:r>
                </w:p>
              </w:tc>
              <w:tc>
                <w:tcPr>
                  <w:tcW w:w="1275" w:type="dxa"/>
                </w:tcPr>
                <w:p w:rsidR="00D9472D" w:rsidRDefault="002E5D08">
                  <w:pPr>
                    <w:jc w:val="center"/>
                    <w:rPr>
                      <w:szCs w:val="22"/>
                    </w:rPr>
                  </w:pPr>
                  <w:r>
                    <w:t>120</w:t>
                  </w:r>
                </w:p>
              </w:tc>
            </w:tr>
          </w:tbl>
          <w:p w:rsidR="00D9472D" w:rsidRDefault="002E5D08">
            <w:pPr>
              <w:rPr>
                <w:sz w:val="18"/>
                <w:szCs w:val="18"/>
              </w:rPr>
            </w:pPr>
            <w:r>
              <w:rPr>
                <w:sz w:val="18"/>
                <w:vertAlign w:val="superscript"/>
              </w:rPr>
              <w:t>1</w:t>
            </w:r>
            <w:r>
              <w:rPr>
                <w:sz w:val="18"/>
              </w:rPr>
              <w:t xml:space="preserve"> Ukupni hlapivi organski spojevi</w:t>
            </w:r>
          </w:p>
          <w:p w:rsidR="00D9472D" w:rsidRDefault="00D9472D">
            <w:pPr>
              <w:rPr>
                <w:szCs w:val="22"/>
              </w:rPr>
            </w:pPr>
          </w:p>
          <w:p w:rsidR="00D9472D" w:rsidRDefault="002E5D08">
            <w:pPr>
              <w:rPr>
                <w:b/>
                <w:szCs w:val="22"/>
              </w:rPr>
            </w:pPr>
            <w:r>
              <w:rPr>
                <w:b/>
              </w:rPr>
              <w:t>Provjera:</w:t>
            </w:r>
          </w:p>
          <w:p w:rsidR="00D9472D" w:rsidRDefault="002E5D08">
            <w:pPr>
              <w:rPr>
                <w:sz w:val="20"/>
                <w:szCs w:val="20"/>
              </w:rPr>
            </w:pPr>
            <w:r>
              <w:t xml:space="preserve">Ponuditelj </w:t>
            </w:r>
            <w:r>
              <w:t>dostavlja izvješća o ispitivanju na temelju analitičkog ispitivanja u skladu s normom EN 16402 ili jednakovrijednom normom.</w:t>
            </w:r>
          </w:p>
        </w:tc>
        <w:tc>
          <w:tcPr>
            <w:tcW w:w="2506" w:type="pct"/>
            <w:shd w:val="clear" w:color="auto" w:fill="auto"/>
          </w:tcPr>
          <w:p w:rsidR="00D9472D" w:rsidRDefault="002E5D08">
            <w:pPr>
              <w:tabs>
                <w:tab w:val="left" w:pos="1951"/>
                <w:tab w:val="left" w:pos="4502"/>
              </w:tabs>
              <w:rPr>
                <w:b/>
                <w:szCs w:val="22"/>
              </w:rPr>
            </w:pPr>
            <w:r>
              <w:rPr>
                <w:b/>
              </w:rPr>
              <w:t>2. Kvaliteta zraka u zatvorenom prostoru: boje za unutarnju primjenu</w:t>
            </w:r>
          </w:p>
          <w:p w:rsidR="00D9472D" w:rsidRDefault="00D9472D">
            <w:pPr>
              <w:tabs>
                <w:tab w:val="left" w:pos="1951"/>
                <w:tab w:val="left" w:pos="4502"/>
              </w:tabs>
              <w:rPr>
                <w:b/>
                <w:szCs w:val="22"/>
              </w:rPr>
            </w:pPr>
          </w:p>
          <w:p w:rsidR="00D9472D" w:rsidRDefault="002E5D08">
            <w:pPr>
              <w:rPr>
                <w:szCs w:val="22"/>
              </w:rPr>
            </w:pPr>
            <w:r>
              <w:t>Dodjeljuju se bodovi proizvodima s emisijama (ukupnih hlapivih</w:t>
            </w:r>
            <w:r>
              <w:t xml:space="preserve"> organskih spojeva i/ili formaldehida) manjima od graničnih vrijednosti navedenih u tablici 12.</w:t>
            </w:r>
          </w:p>
          <w:p w:rsidR="00D9472D" w:rsidRDefault="00D9472D">
            <w:pPr>
              <w:rPr>
                <w:szCs w:val="22"/>
              </w:rPr>
            </w:pPr>
          </w:p>
          <w:p w:rsidR="00D9472D" w:rsidRDefault="002E5D08">
            <w:pPr>
              <w:pStyle w:val="StyleCaption11ptItalic"/>
            </w:pPr>
            <w:r>
              <w:t>Tablica </w:t>
            </w:r>
            <w:r>
              <w:fldChar w:fldCharType="begin"/>
            </w:r>
            <w:r>
              <w:instrText xml:space="preserve"> SEQ Table \* ARABIC </w:instrText>
            </w:r>
            <w:r>
              <w:fldChar w:fldCharType="separate"/>
            </w:r>
            <w:r>
              <w:rPr>
                <w:noProof/>
              </w:rPr>
              <w:t>12</w:t>
            </w:r>
            <w:r>
              <w:rPr>
                <w:noProof/>
              </w:rPr>
              <w:fldChar w:fldCharType="end"/>
            </w:r>
            <w:r>
              <w:t>. Granične vrijednosti emisija boja za unutarnju primjenu u zrak</w:t>
            </w:r>
          </w:p>
          <w:tbl>
            <w:tblPr>
              <w:tblStyle w:val="TableGrid"/>
              <w:tblW w:w="4849" w:type="dxa"/>
              <w:tblLayout w:type="fixed"/>
              <w:tblLook w:val="04A0" w:firstRow="1" w:lastRow="0" w:firstColumn="1" w:lastColumn="0" w:noHBand="0" w:noVBand="1"/>
            </w:tblPr>
            <w:tblGrid>
              <w:gridCol w:w="2138"/>
              <w:gridCol w:w="1294"/>
              <w:gridCol w:w="1417"/>
            </w:tblGrid>
            <w:tr w:rsidR="00D9472D">
              <w:tc>
                <w:tcPr>
                  <w:tcW w:w="2138" w:type="dxa"/>
                  <w:vMerge w:val="restart"/>
                  <w:vAlign w:val="center"/>
                </w:tcPr>
                <w:p w:rsidR="00D9472D" w:rsidRDefault="002E5D08">
                  <w:pPr>
                    <w:jc w:val="left"/>
                    <w:rPr>
                      <w:b/>
                      <w:szCs w:val="22"/>
                    </w:rPr>
                  </w:pPr>
                  <w:r>
                    <w:rPr>
                      <w:b/>
                    </w:rPr>
                    <w:t>Izvor emisije</w:t>
                  </w:r>
                </w:p>
              </w:tc>
              <w:tc>
                <w:tcPr>
                  <w:tcW w:w="2711" w:type="dxa"/>
                  <w:gridSpan w:val="2"/>
                </w:tcPr>
                <w:p w:rsidR="00D9472D" w:rsidRDefault="002E5D08">
                  <w:pPr>
                    <w:jc w:val="center"/>
                    <w:rPr>
                      <w:b/>
                      <w:szCs w:val="22"/>
                    </w:rPr>
                  </w:pPr>
                  <w:r>
                    <w:rPr>
                      <w:b/>
                    </w:rPr>
                    <w:t>Granične vrijednosti emisija (μg/m³)</w:t>
                  </w:r>
                </w:p>
              </w:tc>
            </w:tr>
            <w:tr w:rsidR="00D9472D">
              <w:tc>
                <w:tcPr>
                  <w:tcW w:w="2138" w:type="dxa"/>
                  <w:vMerge/>
                </w:tcPr>
                <w:p w:rsidR="00D9472D" w:rsidRDefault="00D9472D">
                  <w:pPr>
                    <w:rPr>
                      <w:b/>
                      <w:szCs w:val="22"/>
                    </w:rPr>
                  </w:pPr>
                </w:p>
              </w:tc>
              <w:tc>
                <w:tcPr>
                  <w:tcW w:w="1294" w:type="dxa"/>
                </w:tcPr>
                <w:p w:rsidR="00D9472D" w:rsidRDefault="002E5D08">
                  <w:pPr>
                    <w:jc w:val="center"/>
                    <w:rPr>
                      <w:b/>
                      <w:szCs w:val="22"/>
                    </w:rPr>
                  </w:pPr>
                  <w:r>
                    <w:rPr>
                      <w:b/>
                    </w:rPr>
                    <w:t>3 dana</w:t>
                  </w:r>
                </w:p>
              </w:tc>
              <w:tc>
                <w:tcPr>
                  <w:tcW w:w="1417" w:type="dxa"/>
                </w:tcPr>
                <w:p w:rsidR="00D9472D" w:rsidRDefault="002E5D08">
                  <w:pPr>
                    <w:jc w:val="center"/>
                    <w:rPr>
                      <w:b/>
                      <w:szCs w:val="22"/>
                    </w:rPr>
                  </w:pPr>
                  <w:r>
                    <w:rPr>
                      <w:b/>
                    </w:rPr>
                    <w:t>28 dana</w:t>
                  </w:r>
                </w:p>
              </w:tc>
            </w:tr>
            <w:tr w:rsidR="00D9472D">
              <w:tc>
                <w:tcPr>
                  <w:tcW w:w="2138" w:type="dxa"/>
                </w:tcPr>
                <w:p w:rsidR="00D9472D" w:rsidRDefault="002E5D08">
                  <w:pPr>
                    <w:rPr>
                      <w:szCs w:val="22"/>
                    </w:rPr>
                  </w:pPr>
                  <w:r>
                    <w:t>UHOS</w:t>
                  </w:r>
                  <w:r>
                    <w:rPr>
                      <w:sz w:val="18"/>
                      <w:vertAlign w:val="superscript"/>
                    </w:rPr>
                    <w:t>1</w:t>
                  </w:r>
                </w:p>
              </w:tc>
              <w:tc>
                <w:tcPr>
                  <w:tcW w:w="1294" w:type="dxa"/>
                </w:tcPr>
                <w:p w:rsidR="00D9472D" w:rsidRDefault="002E5D08">
                  <w:pPr>
                    <w:jc w:val="center"/>
                    <w:rPr>
                      <w:szCs w:val="22"/>
                    </w:rPr>
                  </w:pPr>
                  <w:r>
                    <w:t>10 000</w:t>
                  </w:r>
                </w:p>
              </w:tc>
              <w:tc>
                <w:tcPr>
                  <w:tcW w:w="1417" w:type="dxa"/>
                </w:tcPr>
                <w:p w:rsidR="00D9472D" w:rsidRDefault="002E5D08">
                  <w:pPr>
                    <w:jc w:val="center"/>
                    <w:rPr>
                      <w:szCs w:val="22"/>
                    </w:rPr>
                  </w:pPr>
                  <w:r>
                    <w:t>1500</w:t>
                  </w:r>
                </w:p>
              </w:tc>
            </w:tr>
            <w:tr w:rsidR="00D9472D">
              <w:tc>
                <w:tcPr>
                  <w:tcW w:w="2138" w:type="dxa"/>
                </w:tcPr>
                <w:p w:rsidR="00D9472D" w:rsidRDefault="002E5D08">
                  <w:pPr>
                    <w:rPr>
                      <w:szCs w:val="22"/>
                    </w:rPr>
                  </w:pPr>
                  <w:r>
                    <w:t>Formaldehid</w:t>
                  </w:r>
                </w:p>
              </w:tc>
              <w:tc>
                <w:tcPr>
                  <w:tcW w:w="1294" w:type="dxa"/>
                </w:tcPr>
                <w:p w:rsidR="00D9472D" w:rsidRDefault="002E5D08">
                  <w:pPr>
                    <w:jc w:val="center"/>
                    <w:rPr>
                      <w:szCs w:val="22"/>
                    </w:rPr>
                  </w:pPr>
                  <w:r>
                    <w:t>–</w:t>
                  </w:r>
                </w:p>
              </w:tc>
              <w:tc>
                <w:tcPr>
                  <w:tcW w:w="1417" w:type="dxa"/>
                </w:tcPr>
                <w:p w:rsidR="00D9472D" w:rsidRDefault="002E5D08">
                  <w:pPr>
                    <w:jc w:val="center"/>
                    <w:rPr>
                      <w:szCs w:val="22"/>
                    </w:rPr>
                  </w:pPr>
                  <w:r>
                    <w:t>60</w:t>
                  </w:r>
                </w:p>
              </w:tc>
            </w:tr>
          </w:tbl>
          <w:p w:rsidR="00D9472D" w:rsidRDefault="002E5D08">
            <w:pPr>
              <w:rPr>
                <w:sz w:val="18"/>
                <w:szCs w:val="18"/>
              </w:rPr>
            </w:pPr>
            <w:r>
              <w:rPr>
                <w:sz w:val="18"/>
                <w:vertAlign w:val="superscript"/>
              </w:rPr>
              <w:t xml:space="preserve">1 </w:t>
            </w:r>
            <w:r>
              <w:rPr>
                <w:sz w:val="18"/>
              </w:rPr>
              <w:t>Ukupni hlapivi organski spojevi</w:t>
            </w:r>
          </w:p>
          <w:p w:rsidR="00D9472D" w:rsidRDefault="00D9472D">
            <w:pPr>
              <w:rPr>
                <w:sz w:val="18"/>
                <w:szCs w:val="18"/>
              </w:rPr>
            </w:pPr>
          </w:p>
          <w:p w:rsidR="00D9472D" w:rsidRDefault="002E5D08">
            <w:pPr>
              <w:rPr>
                <w:b/>
                <w:szCs w:val="22"/>
              </w:rPr>
            </w:pPr>
            <w:r>
              <w:rPr>
                <w:b/>
              </w:rPr>
              <w:t>Provjera:</w:t>
            </w:r>
          </w:p>
          <w:p w:rsidR="00D9472D" w:rsidRDefault="002E5D08">
            <w:pPr>
              <w:rPr>
                <w:szCs w:val="22"/>
              </w:rPr>
            </w:pPr>
            <w:r>
              <w:t>Ponuditelj dostavlja izvješća o ispitivanju na temelju analitičkog ispitivanja u skladu s normom EN 16402 ili jednakovrijednom normom.</w:t>
            </w:r>
          </w:p>
          <w:p w:rsidR="00D9472D" w:rsidRDefault="00D9472D">
            <w:pPr>
              <w:rPr>
                <w:b/>
                <w:szCs w:val="22"/>
              </w:rPr>
            </w:pPr>
          </w:p>
        </w:tc>
      </w:tr>
      <w:tr w:rsidR="00D9472D">
        <w:tc>
          <w:tcPr>
            <w:tcW w:w="5000" w:type="pct"/>
            <w:gridSpan w:val="2"/>
            <w:shd w:val="clear" w:color="auto" w:fill="auto"/>
          </w:tcPr>
          <w:p w:rsidR="00D9472D" w:rsidRDefault="00D9472D">
            <w:pPr>
              <w:tabs>
                <w:tab w:val="left" w:pos="1951"/>
                <w:tab w:val="left" w:pos="4502"/>
              </w:tabs>
              <w:rPr>
                <w:b/>
                <w:szCs w:val="22"/>
              </w:rPr>
            </w:pPr>
          </w:p>
        </w:tc>
      </w:tr>
      <w:tr w:rsidR="00D9472D">
        <w:tc>
          <w:tcPr>
            <w:tcW w:w="5000" w:type="pct"/>
            <w:gridSpan w:val="2"/>
            <w:shd w:val="clear" w:color="auto" w:fill="92D050"/>
          </w:tcPr>
          <w:p w:rsidR="00D9472D" w:rsidRDefault="002E5D08">
            <w:pPr>
              <w:spacing w:before="40" w:after="40"/>
              <w:jc w:val="center"/>
              <w:rPr>
                <w:b/>
                <w:szCs w:val="22"/>
              </w:rPr>
            </w:pPr>
            <w:r>
              <w:rPr>
                <w:b/>
              </w:rPr>
              <w:t xml:space="preserve">ODREDBE O IZVRŠENJU </w:t>
            </w:r>
            <w:r>
              <w:rPr>
                <w:b/>
              </w:rPr>
              <w:t>UGOVORA</w:t>
            </w:r>
          </w:p>
        </w:tc>
      </w:tr>
      <w:tr w:rsidR="00D9472D">
        <w:tc>
          <w:tcPr>
            <w:tcW w:w="5000" w:type="pct"/>
            <w:gridSpan w:val="2"/>
            <w:shd w:val="clear" w:color="auto" w:fill="auto"/>
          </w:tcPr>
          <w:p w:rsidR="00D9472D" w:rsidRDefault="002E5D08">
            <w:pPr>
              <w:tabs>
                <w:tab w:val="left" w:pos="1951"/>
                <w:tab w:val="left" w:pos="4502"/>
              </w:tabs>
              <w:rPr>
                <w:b/>
                <w:szCs w:val="22"/>
              </w:rPr>
            </w:pPr>
            <w:r>
              <w:rPr>
                <w:b/>
              </w:rPr>
              <w:t>1. Tehnički savjeti i inspekcijski pregledi na licu mjesta</w:t>
            </w:r>
          </w:p>
          <w:p w:rsidR="00D9472D" w:rsidRDefault="002E5D08">
            <w:pPr>
              <w:tabs>
                <w:tab w:val="left" w:pos="1951"/>
                <w:tab w:val="left" w:pos="4502"/>
              </w:tabs>
              <w:rPr>
                <w:i/>
                <w:szCs w:val="22"/>
              </w:rPr>
            </w:pPr>
            <w:r>
              <w:rPr>
                <w:i/>
              </w:rPr>
              <w:t>(Isto za osnovna i sveobuhvatna mjerila)</w:t>
            </w:r>
          </w:p>
          <w:p w:rsidR="00D9472D" w:rsidRDefault="00D9472D">
            <w:pPr>
              <w:tabs>
                <w:tab w:val="left" w:pos="1951"/>
                <w:tab w:val="left" w:pos="4502"/>
              </w:tabs>
              <w:rPr>
                <w:szCs w:val="22"/>
              </w:rPr>
            </w:pPr>
          </w:p>
          <w:p w:rsidR="00D9472D" w:rsidRDefault="002E5D08">
            <w:pPr>
              <w:rPr>
                <w:szCs w:val="22"/>
              </w:rPr>
            </w:pPr>
            <w:r>
              <w:t>Ponuditelj javnom naručitelju ili njegovim ugovarateljima dostavlja tehničke savjete i upute za rad na lokaciji. To uključuje sljedeće:</w:t>
            </w:r>
          </w:p>
          <w:p w:rsidR="00D9472D" w:rsidRDefault="00D9472D">
            <w:pPr>
              <w:rPr>
                <w:szCs w:val="22"/>
              </w:rPr>
            </w:pPr>
          </w:p>
          <w:p w:rsidR="00D9472D" w:rsidRDefault="002E5D08">
            <w:pPr>
              <w:pStyle w:val="ListParagraph"/>
              <w:numPr>
                <w:ilvl w:val="0"/>
                <w:numId w:val="12"/>
              </w:numPr>
              <w:rPr>
                <w:szCs w:val="22"/>
              </w:rPr>
            </w:pPr>
            <w:r>
              <w:t xml:space="preserve">opise </w:t>
            </w:r>
            <w:r>
              <w:t>metoda i smjernice za pripremu podloge</w:t>
            </w:r>
          </w:p>
          <w:p w:rsidR="00D9472D" w:rsidRDefault="002E5D08">
            <w:pPr>
              <w:pStyle w:val="ListParagraph"/>
              <w:numPr>
                <w:ilvl w:val="0"/>
                <w:numId w:val="12"/>
              </w:numPr>
              <w:rPr>
                <w:szCs w:val="22"/>
              </w:rPr>
            </w:pPr>
            <w:r>
              <w:t>opise metoda i smjernice za pripremu boje, uključujući procjene za primjenu po m</w:t>
            </w:r>
            <w:r>
              <w:rPr>
                <w:vertAlign w:val="superscript"/>
              </w:rPr>
              <w:t>2</w:t>
            </w:r>
          </w:p>
          <w:p w:rsidR="00D9472D" w:rsidRDefault="002E5D08">
            <w:pPr>
              <w:pStyle w:val="ListParagraph"/>
              <w:numPr>
                <w:ilvl w:val="0"/>
                <w:numId w:val="12"/>
              </w:numPr>
              <w:rPr>
                <w:szCs w:val="22"/>
              </w:rPr>
            </w:pPr>
            <w:r>
              <w:t>optimalne uvjete za skladištenje i primjenu proizvoda</w:t>
            </w:r>
          </w:p>
          <w:p w:rsidR="00D9472D" w:rsidRDefault="002E5D08">
            <w:pPr>
              <w:pStyle w:val="ListParagraph"/>
              <w:numPr>
                <w:ilvl w:val="0"/>
                <w:numId w:val="12"/>
              </w:numPr>
              <w:rPr>
                <w:szCs w:val="22"/>
              </w:rPr>
            </w:pPr>
            <w:r>
              <w:t>mjere za smanjenje rizika kako bi se smanjilo onečišćenje okoliša</w:t>
            </w:r>
          </w:p>
          <w:p w:rsidR="00D9472D" w:rsidRDefault="002E5D08">
            <w:pPr>
              <w:pStyle w:val="ListParagraph"/>
              <w:numPr>
                <w:ilvl w:val="0"/>
                <w:numId w:val="12"/>
              </w:numPr>
              <w:rPr>
                <w:szCs w:val="22"/>
              </w:rPr>
            </w:pPr>
            <w:r>
              <w:t>savjete o primj</w:t>
            </w:r>
            <w:r>
              <w:t>erenom odlaganju neiskorištene boje.</w:t>
            </w:r>
          </w:p>
          <w:p w:rsidR="00D9472D" w:rsidRDefault="00D9472D">
            <w:pPr>
              <w:rPr>
                <w:szCs w:val="22"/>
              </w:rPr>
            </w:pPr>
          </w:p>
          <w:p w:rsidR="00D9472D" w:rsidRDefault="002E5D08">
            <w:pPr>
              <w:rPr>
                <w:szCs w:val="22"/>
              </w:rPr>
            </w:pPr>
            <w:r>
              <w:t>Na zahtjev se radnicima javnog naručitelja ili njegova ugovaratelja na terenu na raspolaganje stavljaju i tehnički savjeti u obliku posjeta na licu mjesta (broj i opseg treba odrediti javni naručitelj u fazi nadmetanja</w:t>
            </w:r>
            <w:r>
              <w:t>) ili telefonske linije za tehničku pomoć (na jeziku koji odredi javni naručitelj).</w:t>
            </w:r>
          </w:p>
          <w:p w:rsidR="00D9472D" w:rsidRDefault="00D9472D">
            <w:pPr>
              <w:rPr>
                <w:szCs w:val="22"/>
              </w:rPr>
            </w:pPr>
          </w:p>
          <w:p w:rsidR="00D9472D" w:rsidRDefault="002E5D08">
            <w:pPr>
              <w:rPr>
                <w:szCs w:val="22"/>
              </w:rPr>
            </w:pPr>
            <w:r>
              <w:t>Ponuditelj dostavlja dokumentaciju koja uključuje navedene informacije. Radnici koji primjenjuju boju moraju u povratnim informacijama u pisanom obliku potvrditi zadovolja</w:t>
            </w:r>
            <w:r>
              <w:t>vajuće pružanje tehničkih savjeta i podrške na terenu.</w:t>
            </w:r>
          </w:p>
          <w:p w:rsidR="00D9472D" w:rsidRDefault="00D9472D">
            <w:pPr>
              <w:rPr>
                <w:szCs w:val="22"/>
              </w:rPr>
            </w:pPr>
          </w:p>
        </w:tc>
      </w:tr>
    </w:tbl>
    <w:p w:rsidR="00D9472D" w:rsidRDefault="00D9472D"/>
    <w:p w:rsidR="00D9472D" w:rsidRDefault="00D9472D">
      <w:pPr>
        <w:sectPr w:rsidR="00D9472D">
          <w:headerReference w:type="even" r:id="rId53"/>
          <w:headerReference w:type="default" r:id="rId54"/>
          <w:footerReference w:type="even" r:id="rId55"/>
          <w:footerReference w:type="default" r:id="rId56"/>
          <w:headerReference w:type="first" r:id="rId57"/>
          <w:footerReference w:type="first" r:id="rId58"/>
          <w:pgSz w:w="16838" w:h="11906" w:orient="landscape"/>
          <w:pgMar w:top="1800" w:right="1440" w:bottom="1800" w:left="1440" w:header="708" w:footer="708"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gridCol w:w="7087"/>
      </w:tblGrid>
      <w:tr w:rsidR="00D9472D">
        <w:tc>
          <w:tcPr>
            <w:tcW w:w="5000" w:type="pct"/>
            <w:gridSpan w:val="2"/>
            <w:shd w:val="clear" w:color="auto" w:fill="auto"/>
          </w:tcPr>
          <w:p w:rsidR="00D9472D" w:rsidRDefault="002E5D08">
            <w:pPr>
              <w:pStyle w:val="Heading2"/>
            </w:pPr>
            <w:r>
              <w:br w:type="page"/>
              <w:t>Ugovori o izvođenju radova bojenja</w:t>
            </w:r>
          </w:p>
        </w:tc>
      </w:tr>
      <w:tr w:rsidR="00D9472D">
        <w:tc>
          <w:tcPr>
            <w:tcW w:w="2500" w:type="pct"/>
            <w:shd w:val="clear" w:color="auto" w:fill="FFC000"/>
          </w:tcPr>
          <w:p w:rsidR="00D9472D" w:rsidRDefault="002E5D08">
            <w:pPr>
              <w:spacing w:before="40" w:after="40"/>
              <w:jc w:val="center"/>
              <w:rPr>
                <w:b/>
                <w:szCs w:val="22"/>
              </w:rPr>
            </w:pPr>
            <w:r>
              <w:rPr>
                <w:b/>
              </w:rPr>
              <w:t>Osnovna mjerila</w:t>
            </w:r>
          </w:p>
        </w:tc>
        <w:tc>
          <w:tcPr>
            <w:tcW w:w="2500" w:type="pct"/>
            <w:shd w:val="clear" w:color="auto" w:fill="FFC000"/>
          </w:tcPr>
          <w:p w:rsidR="00D9472D" w:rsidRDefault="002E5D08">
            <w:pPr>
              <w:spacing w:before="40" w:after="40"/>
              <w:jc w:val="center"/>
              <w:rPr>
                <w:szCs w:val="22"/>
              </w:rPr>
            </w:pPr>
            <w:r>
              <w:rPr>
                <w:b/>
              </w:rPr>
              <w:t>Sveobuhvatna mjerila</w:t>
            </w:r>
          </w:p>
        </w:tc>
      </w:tr>
      <w:tr w:rsidR="00D9472D">
        <w:tc>
          <w:tcPr>
            <w:tcW w:w="5000" w:type="pct"/>
            <w:gridSpan w:val="2"/>
            <w:shd w:val="clear" w:color="auto" w:fill="92D050"/>
          </w:tcPr>
          <w:p w:rsidR="00D9472D" w:rsidRDefault="002E5D08">
            <w:pPr>
              <w:spacing w:before="40" w:after="40"/>
              <w:jc w:val="center"/>
              <w:rPr>
                <w:b/>
                <w:szCs w:val="22"/>
              </w:rPr>
            </w:pPr>
            <w:r>
              <w:rPr>
                <w:b/>
              </w:rPr>
              <w:t>PREDMET</w:t>
            </w:r>
          </w:p>
        </w:tc>
      </w:tr>
      <w:tr w:rsidR="00D9472D">
        <w:tc>
          <w:tcPr>
            <w:tcW w:w="5000" w:type="pct"/>
            <w:gridSpan w:val="2"/>
            <w:shd w:val="clear" w:color="auto" w:fill="92D050"/>
          </w:tcPr>
          <w:p w:rsidR="00D9472D" w:rsidRDefault="002E5D08">
            <w:pPr>
              <w:spacing w:before="40" w:after="40"/>
              <w:jc w:val="center"/>
              <w:rPr>
                <w:b/>
                <w:bCs/>
                <w:szCs w:val="20"/>
              </w:rPr>
            </w:pPr>
            <w:r>
              <w:rPr>
                <w:b/>
              </w:rPr>
              <w:t xml:space="preserve">Radovi bojenja koji </w:t>
            </w:r>
            <w:r>
              <w:rPr>
                <w:b/>
              </w:rPr>
              <w:t>maksimalno povećavaju vijek trajanja boje i smanjuju povezane utjecaje na okoliš</w:t>
            </w:r>
          </w:p>
        </w:tc>
      </w:tr>
      <w:tr w:rsidR="00D9472D">
        <w:tc>
          <w:tcPr>
            <w:tcW w:w="5000" w:type="pct"/>
            <w:gridSpan w:val="2"/>
            <w:shd w:val="clear" w:color="auto" w:fill="92D050"/>
          </w:tcPr>
          <w:p w:rsidR="00D9472D" w:rsidRDefault="002E5D08">
            <w:pPr>
              <w:spacing w:before="40" w:after="40"/>
              <w:jc w:val="center"/>
              <w:rPr>
                <w:b/>
                <w:szCs w:val="22"/>
              </w:rPr>
            </w:pPr>
            <w:r>
              <w:rPr>
                <w:b/>
              </w:rPr>
              <w:t>MJERILA ZA ODABIR</w:t>
            </w:r>
          </w:p>
        </w:tc>
      </w:tr>
      <w:tr w:rsidR="00D9472D">
        <w:tc>
          <w:tcPr>
            <w:tcW w:w="5000" w:type="pct"/>
            <w:gridSpan w:val="2"/>
          </w:tcPr>
          <w:p w:rsidR="00D9472D" w:rsidRDefault="002E5D08">
            <w:pPr>
              <w:rPr>
                <w:b/>
                <w:szCs w:val="22"/>
              </w:rPr>
            </w:pPr>
            <w:r>
              <w:rPr>
                <w:b/>
              </w:rPr>
              <w:t>1. Osposobljenost ponuditelja</w:t>
            </w:r>
          </w:p>
          <w:p w:rsidR="00D9472D" w:rsidRDefault="002E5D08">
            <w:pPr>
              <w:rPr>
                <w:bCs/>
                <w:i/>
                <w:szCs w:val="22"/>
              </w:rPr>
            </w:pPr>
            <w:r>
              <w:rPr>
                <w:i/>
              </w:rPr>
              <w:t>(Isto za osnovna i sveobuhvatna mjerila)</w:t>
            </w:r>
          </w:p>
          <w:p w:rsidR="00D9472D" w:rsidRDefault="00D9472D">
            <w:pPr>
              <w:rPr>
                <w:bCs/>
                <w:i/>
                <w:szCs w:val="22"/>
              </w:rPr>
            </w:pPr>
          </w:p>
          <w:p w:rsidR="00D9472D" w:rsidRDefault="002E5D08">
            <w:pPr>
              <w:rPr>
                <w:szCs w:val="22"/>
              </w:rPr>
            </w:pPr>
            <w:r>
              <w:t xml:space="preserve">Ponuditelj dokazuje stručnu osposobljenost u sljedećim područjima, kako je </w:t>
            </w:r>
            <w:r>
              <w:t>relevantno za prirodu ugovora koji se sklapa (odabrati ono što je relevantno za ugovor):</w:t>
            </w:r>
          </w:p>
          <w:p w:rsidR="00D9472D" w:rsidRDefault="00D9472D">
            <w:pPr>
              <w:rPr>
                <w:szCs w:val="22"/>
              </w:rPr>
            </w:pPr>
          </w:p>
          <w:p w:rsidR="00D9472D" w:rsidRDefault="002E5D08">
            <w:pPr>
              <w:pStyle w:val="ListParagraph"/>
              <w:numPr>
                <w:ilvl w:val="0"/>
                <w:numId w:val="2"/>
              </w:numPr>
              <w:rPr>
                <w:szCs w:val="22"/>
              </w:rPr>
            </w:pPr>
            <w:r>
              <w:t>opisi metoda za učinkovitu upotrebu boje na lokaciji, uključujući pripremu procjena i upotrebu specijalizirane opreme</w:t>
            </w:r>
          </w:p>
          <w:p w:rsidR="00D9472D" w:rsidRDefault="002E5D08">
            <w:pPr>
              <w:pStyle w:val="ListParagraph"/>
              <w:numPr>
                <w:ilvl w:val="0"/>
                <w:numId w:val="2"/>
              </w:numPr>
              <w:rPr>
                <w:szCs w:val="22"/>
              </w:rPr>
            </w:pPr>
            <w:r>
              <w:t>opisi metoda za pripremu podloga i formulacija b</w:t>
            </w:r>
            <w:r>
              <w:t>oje prije primjene.  To prema potrebi uključuje sigurnosne postupke za uklanjanje postojećih filmova i premaza te za rukovanje novim bojama i lakovima tijekom njihove upotrebe</w:t>
            </w:r>
          </w:p>
          <w:p w:rsidR="00D9472D" w:rsidRDefault="002E5D08">
            <w:pPr>
              <w:pStyle w:val="ListParagraph"/>
              <w:numPr>
                <w:ilvl w:val="0"/>
                <w:numId w:val="2"/>
              </w:numPr>
              <w:rPr>
                <w:szCs w:val="22"/>
              </w:rPr>
            </w:pPr>
            <w:r>
              <w:t>primjena ekološki poboljšanih proizvoda, uključujući proizvode sa smanjenim udje</w:t>
            </w:r>
            <w:r>
              <w:t>lom hlapivih organskih spojeva</w:t>
            </w:r>
          </w:p>
          <w:p w:rsidR="00D9472D" w:rsidRDefault="002E5D08">
            <w:pPr>
              <w:pStyle w:val="ListParagraph"/>
              <w:numPr>
                <w:ilvl w:val="0"/>
                <w:numId w:val="2"/>
              </w:numPr>
              <w:rPr>
                <w:szCs w:val="22"/>
              </w:rPr>
            </w:pPr>
            <w:r>
              <w:t>primjena izdržljivih i visokokvalitetnih završnih premaza, na temelju relevantnih normi EN ili jendakovrijednih normi</w:t>
            </w:r>
          </w:p>
          <w:p w:rsidR="00D9472D" w:rsidRDefault="002E5D08">
            <w:pPr>
              <w:pStyle w:val="ListParagraph"/>
              <w:numPr>
                <w:ilvl w:val="0"/>
                <w:numId w:val="2"/>
              </w:numPr>
              <w:rPr>
                <w:szCs w:val="22"/>
              </w:rPr>
            </w:pPr>
            <w:r>
              <w:t>politike i potporni sustavi za upravljanje usmjereni na to da se smanji količina otpadnih boja, poveća pono</w:t>
            </w:r>
            <w:r>
              <w:t>vna upotreba ili recikliranje neiskorištene boje i osigura sigurno odlaganje boje te drugih kemikalija kao što su tvari za skidanje boje.</w:t>
            </w:r>
          </w:p>
          <w:p w:rsidR="00D9472D" w:rsidRDefault="00D9472D">
            <w:pPr>
              <w:ind w:left="412"/>
              <w:rPr>
                <w:szCs w:val="22"/>
              </w:rPr>
            </w:pPr>
          </w:p>
          <w:p w:rsidR="00D9472D" w:rsidRDefault="002E5D08">
            <w:pPr>
              <w:rPr>
                <w:bCs/>
                <w:szCs w:val="22"/>
              </w:rPr>
            </w:pPr>
            <w:r>
              <w:rPr>
                <w:b/>
              </w:rPr>
              <w:t>Provjera</w:t>
            </w:r>
            <w:r>
              <w:t>:</w:t>
            </w:r>
          </w:p>
          <w:p w:rsidR="00D9472D" w:rsidRDefault="002E5D08">
            <w:pPr>
              <w:rPr>
                <w:szCs w:val="22"/>
              </w:rPr>
            </w:pPr>
            <w:r>
              <w:t xml:space="preserve">Ponuditelj dostavlja dokaze u obliku informacija i upućivanja povezanih s relevantnim ugovorima u </w:t>
            </w:r>
            <w:r>
              <w:t>prethodnih pet godina u kojima su izvršeni prethodno navedeni elementi.</w:t>
            </w:r>
          </w:p>
          <w:p w:rsidR="00D9472D" w:rsidRDefault="00D9472D">
            <w:pPr>
              <w:rPr>
                <w:bCs/>
                <w:szCs w:val="22"/>
              </w:rPr>
            </w:pPr>
          </w:p>
        </w:tc>
      </w:tr>
      <w:tr w:rsidR="00D9472D">
        <w:tblPrEx>
          <w:tblLook w:val="04A0" w:firstRow="1" w:lastRow="0" w:firstColumn="1" w:lastColumn="0" w:noHBand="0" w:noVBand="1"/>
        </w:tblPrEx>
        <w:tc>
          <w:tcPr>
            <w:tcW w:w="5000" w:type="pct"/>
            <w:gridSpan w:val="2"/>
            <w:shd w:val="clear" w:color="auto" w:fill="92D050"/>
          </w:tcPr>
          <w:p w:rsidR="00D9472D" w:rsidRDefault="002E5D08">
            <w:pPr>
              <w:spacing w:before="40" w:after="40"/>
              <w:jc w:val="center"/>
              <w:rPr>
                <w:b/>
                <w:szCs w:val="22"/>
              </w:rPr>
            </w:pPr>
            <w:r>
              <w:rPr>
                <w:b/>
              </w:rPr>
              <w:t>TEHNIČKE SPECIFIKACIJE</w:t>
            </w:r>
          </w:p>
        </w:tc>
      </w:tr>
      <w:tr w:rsidR="00D9472D">
        <w:tblPrEx>
          <w:tblLook w:val="04A0" w:firstRow="1" w:lastRow="0" w:firstColumn="1" w:lastColumn="0" w:noHBand="0" w:noVBand="1"/>
        </w:tblPrEx>
        <w:tc>
          <w:tcPr>
            <w:tcW w:w="5000" w:type="pct"/>
            <w:gridSpan w:val="2"/>
            <w:shd w:val="clear" w:color="auto" w:fill="auto"/>
          </w:tcPr>
          <w:p w:rsidR="00D9472D" w:rsidRDefault="002E5D08">
            <w:pPr>
              <w:rPr>
                <w:b/>
                <w:szCs w:val="22"/>
              </w:rPr>
            </w:pPr>
            <w:r>
              <w:rPr>
                <w:b/>
              </w:rPr>
              <w:t>1. Upotreba boja koje ispunjavaju mjerila EU-a za zelenu javnu nabavu</w:t>
            </w:r>
          </w:p>
          <w:p w:rsidR="00D9472D" w:rsidRDefault="002E5D08">
            <w:pPr>
              <w:rPr>
                <w:bCs/>
                <w:i/>
                <w:szCs w:val="22"/>
              </w:rPr>
            </w:pPr>
            <w:r>
              <w:rPr>
                <w:i/>
              </w:rPr>
              <w:t>(Isto za osnovna i sveobuhvatna mjerila)</w:t>
            </w:r>
          </w:p>
          <w:p w:rsidR="00D9472D" w:rsidRDefault="00D9472D">
            <w:pPr>
              <w:rPr>
                <w:bCs/>
                <w:i/>
                <w:szCs w:val="22"/>
              </w:rPr>
            </w:pPr>
          </w:p>
          <w:p w:rsidR="00D9472D" w:rsidRDefault="002E5D08">
            <w:pPr>
              <w:rPr>
                <w:szCs w:val="22"/>
              </w:rPr>
            </w:pPr>
            <w:r>
              <w:t xml:space="preserve">Ugovori o izvođenju radova bojenja izvršavaju </w:t>
            </w:r>
            <w:r>
              <w:t>se upotrebom boja koje su u skladu sa zahtjevima EU-a za zelenu javnu nabavu kako je utvrđeno u Tehničkim specifikacijama za osnovna mjerila EU-a za zelenu javnu nabavu – odjeljak 4.1. Boje i lakovi.</w:t>
            </w:r>
          </w:p>
          <w:p w:rsidR="00D9472D" w:rsidRDefault="00D9472D">
            <w:pPr>
              <w:rPr>
                <w:szCs w:val="22"/>
              </w:rPr>
            </w:pPr>
          </w:p>
          <w:p w:rsidR="00D9472D" w:rsidRDefault="002E5D08">
            <w:pPr>
              <w:rPr>
                <w:bCs/>
                <w:szCs w:val="22"/>
              </w:rPr>
            </w:pPr>
            <w:r>
              <w:rPr>
                <w:b/>
              </w:rPr>
              <w:t>Provjera</w:t>
            </w:r>
            <w:r>
              <w:t>:</w:t>
            </w:r>
          </w:p>
          <w:p w:rsidR="00D9472D" w:rsidRDefault="002E5D08">
            <w:pPr>
              <w:rPr>
                <w:b/>
                <w:szCs w:val="22"/>
              </w:rPr>
            </w:pPr>
            <w:r>
              <w:t>Ponuditelj dostavlja popratnu dokumentaciju k</w:t>
            </w:r>
            <w:r>
              <w:t>ojom potvrđuje da proizvodi koji će se upotrebljavati ispunjavaju prethodno utvrđena mjerila.</w:t>
            </w:r>
          </w:p>
          <w:p w:rsidR="00D9472D" w:rsidRDefault="00D9472D">
            <w:pPr>
              <w:tabs>
                <w:tab w:val="left" w:pos="1951"/>
                <w:tab w:val="left" w:pos="4502"/>
              </w:tabs>
              <w:rPr>
                <w:b/>
                <w:szCs w:val="22"/>
              </w:rPr>
            </w:pPr>
          </w:p>
        </w:tc>
      </w:tr>
      <w:tr w:rsidR="00D9472D">
        <w:tblPrEx>
          <w:tblLook w:val="04A0" w:firstRow="1" w:lastRow="0" w:firstColumn="1" w:lastColumn="0" w:noHBand="0" w:noVBand="1"/>
        </w:tblPrEx>
        <w:tc>
          <w:tcPr>
            <w:tcW w:w="5000" w:type="pct"/>
            <w:gridSpan w:val="2"/>
            <w:shd w:val="clear" w:color="auto" w:fill="auto"/>
          </w:tcPr>
          <w:p w:rsidR="00D9472D" w:rsidRDefault="002E5D08">
            <w:pPr>
              <w:tabs>
                <w:tab w:val="left" w:pos="1951"/>
                <w:tab w:val="left" w:pos="4502"/>
              </w:tabs>
              <w:rPr>
                <w:b/>
                <w:szCs w:val="22"/>
              </w:rPr>
            </w:pPr>
            <w:r>
              <w:rPr>
                <w:b/>
              </w:rPr>
              <w:t>2. Upravljanje otpadnom i neiskorištenom</w:t>
            </w:r>
            <w:r>
              <w:t xml:space="preserve"> </w:t>
            </w:r>
            <w:r>
              <w:rPr>
                <w:b/>
              </w:rPr>
              <w:t>bojom</w:t>
            </w:r>
          </w:p>
          <w:p w:rsidR="00D9472D" w:rsidRDefault="002E5D08">
            <w:pPr>
              <w:rPr>
                <w:bCs/>
                <w:i/>
                <w:szCs w:val="22"/>
              </w:rPr>
            </w:pPr>
            <w:r>
              <w:rPr>
                <w:i/>
              </w:rPr>
              <w:t>(Isto za osnovna i sveobuhvatna mjerila)</w:t>
            </w:r>
          </w:p>
          <w:p w:rsidR="00D9472D" w:rsidRDefault="00D9472D">
            <w:pPr>
              <w:rPr>
                <w:bCs/>
                <w:i/>
                <w:szCs w:val="22"/>
              </w:rPr>
            </w:pPr>
          </w:p>
          <w:p w:rsidR="00D9472D" w:rsidRDefault="002E5D08">
            <w:pPr>
              <w:tabs>
                <w:tab w:val="left" w:pos="1951"/>
                <w:tab w:val="left" w:pos="4502"/>
              </w:tabs>
              <w:rPr>
                <w:szCs w:val="22"/>
              </w:rPr>
            </w:pPr>
            <w:r>
              <w:t>Ponuditelj dostavlja plan gospodarenja otpadom za boju koja ostane nako</w:t>
            </w:r>
            <w:r>
              <w:t>n pripreme podloge i nakon primjene. Plan uključuje:</w:t>
            </w:r>
          </w:p>
          <w:p w:rsidR="00D9472D" w:rsidRDefault="002E5D08">
            <w:pPr>
              <w:pStyle w:val="ListParagraph"/>
              <w:numPr>
                <w:ilvl w:val="0"/>
                <w:numId w:val="11"/>
              </w:numPr>
              <w:tabs>
                <w:tab w:val="left" w:pos="1951"/>
                <w:tab w:val="left" w:pos="4502"/>
              </w:tabs>
              <w:rPr>
                <w:szCs w:val="22"/>
              </w:rPr>
            </w:pPr>
            <w:r>
              <w:t>ako je potrebno uklanjanje boje/oznaka, procjenu mogućeg udjela opasnih tvari u boji koja je skinuta s podloga i, ako je utvrđen rizik, opis metode za smanjenje rizika sigurnim rukovanjem i odlaganjem</w:t>
            </w:r>
          </w:p>
          <w:p w:rsidR="00D9472D" w:rsidRDefault="002E5D08">
            <w:pPr>
              <w:pStyle w:val="ListParagraph"/>
              <w:numPr>
                <w:ilvl w:val="0"/>
                <w:numId w:val="11"/>
              </w:numPr>
              <w:tabs>
                <w:tab w:val="left" w:pos="1951"/>
                <w:tab w:val="left" w:pos="4502"/>
              </w:tabs>
              <w:rPr>
                <w:szCs w:val="22"/>
              </w:rPr>
            </w:pPr>
            <w:r>
              <w:t>op</w:t>
            </w:r>
            <w:r>
              <w:t>is metode za prakse čišćenja opreme za bojenje na terenu te za skladištenje otpadne i neiskorištene boje radi sigurnog odlaganja opasnog otpada</w:t>
            </w:r>
          </w:p>
          <w:p w:rsidR="00D9472D" w:rsidRDefault="002E5D08">
            <w:pPr>
              <w:pStyle w:val="ListParagraph"/>
              <w:numPr>
                <w:ilvl w:val="0"/>
                <w:numId w:val="11"/>
              </w:numPr>
              <w:tabs>
                <w:tab w:val="left" w:pos="1951"/>
                <w:tab w:val="left" w:pos="4502"/>
              </w:tabs>
              <w:rPr>
                <w:szCs w:val="22"/>
              </w:rPr>
            </w:pPr>
            <w:r>
              <w:t>mjere za smanjenje količine otpadne i neiskorištene boje.</w:t>
            </w:r>
          </w:p>
          <w:p w:rsidR="00D9472D" w:rsidRDefault="00D9472D">
            <w:pPr>
              <w:tabs>
                <w:tab w:val="left" w:pos="1951"/>
                <w:tab w:val="left" w:pos="4502"/>
              </w:tabs>
              <w:rPr>
                <w:szCs w:val="22"/>
              </w:rPr>
            </w:pPr>
          </w:p>
          <w:p w:rsidR="00D9472D" w:rsidRDefault="002E5D08">
            <w:pPr>
              <w:tabs>
                <w:tab w:val="left" w:pos="1951"/>
                <w:tab w:val="left" w:pos="4502"/>
              </w:tabs>
              <w:rPr>
                <w:b/>
                <w:szCs w:val="22"/>
              </w:rPr>
            </w:pPr>
            <w:r>
              <w:rPr>
                <w:b/>
              </w:rPr>
              <w:t>Provjera:</w:t>
            </w:r>
          </w:p>
          <w:p w:rsidR="00D9472D" w:rsidRDefault="002E5D08">
            <w:pPr>
              <w:tabs>
                <w:tab w:val="left" w:pos="1951"/>
                <w:tab w:val="left" w:pos="4502"/>
              </w:tabs>
              <w:rPr>
                <w:szCs w:val="22"/>
              </w:rPr>
            </w:pPr>
            <w:r>
              <w:t>Ponuditelj dostavlja dokumentirani plan gos</w:t>
            </w:r>
            <w:r>
              <w:t>podarenja otpadom koji uključuje opise metoda za sigurno skidanje boja, čišćenje opreme, rukovanje otpadnim i neiskorištenim bojama i njihovo odlaganje te mjere koje se primjenjuju za smanjenje količine otpadne i neiskorištene boje.</w:t>
            </w:r>
          </w:p>
          <w:p w:rsidR="00D9472D" w:rsidRDefault="00D9472D">
            <w:pPr>
              <w:tabs>
                <w:tab w:val="left" w:pos="1951"/>
                <w:tab w:val="left" w:pos="4502"/>
              </w:tabs>
              <w:rPr>
                <w:szCs w:val="22"/>
              </w:rPr>
            </w:pPr>
          </w:p>
          <w:p w:rsidR="00D9472D" w:rsidRDefault="002E5D08">
            <w:pPr>
              <w:tabs>
                <w:tab w:val="left" w:pos="1951"/>
                <w:tab w:val="left" w:pos="4502"/>
              </w:tabs>
              <w:rPr>
                <w:i/>
                <w:szCs w:val="22"/>
              </w:rPr>
            </w:pPr>
            <w:r>
              <w:rPr>
                <w:i/>
              </w:rPr>
              <w:t xml:space="preserve">Praćenje otpadne boje </w:t>
            </w:r>
            <w:r>
              <w:rPr>
                <w:i/>
              </w:rPr>
              <w:t>zatim se obavlja na temelju odredbe o izvršenju ugovora.</w:t>
            </w:r>
          </w:p>
          <w:p w:rsidR="00D9472D" w:rsidRDefault="00D9472D">
            <w:pPr>
              <w:tabs>
                <w:tab w:val="left" w:pos="1951"/>
                <w:tab w:val="left" w:pos="4502"/>
              </w:tabs>
              <w:rPr>
                <w:szCs w:val="22"/>
              </w:rPr>
            </w:pPr>
          </w:p>
        </w:tc>
      </w:tr>
      <w:tr w:rsidR="00D9472D">
        <w:tblPrEx>
          <w:tblLook w:val="04A0" w:firstRow="1" w:lastRow="0" w:firstColumn="1" w:lastColumn="0" w:noHBand="0" w:noVBand="1"/>
        </w:tblPrEx>
        <w:tc>
          <w:tcPr>
            <w:tcW w:w="5000" w:type="pct"/>
            <w:gridSpan w:val="2"/>
            <w:shd w:val="clear" w:color="auto" w:fill="92D050"/>
          </w:tcPr>
          <w:p w:rsidR="00D9472D" w:rsidRDefault="002E5D08">
            <w:pPr>
              <w:spacing w:before="40" w:after="40"/>
              <w:jc w:val="center"/>
              <w:rPr>
                <w:b/>
                <w:szCs w:val="22"/>
              </w:rPr>
            </w:pPr>
            <w:r>
              <w:rPr>
                <w:b/>
              </w:rPr>
              <w:t>MJERILA ZA DODJELU</w:t>
            </w:r>
          </w:p>
        </w:tc>
      </w:tr>
      <w:tr w:rsidR="00D9472D">
        <w:tblPrEx>
          <w:tblLook w:val="04A0" w:firstRow="1" w:lastRow="0" w:firstColumn="1" w:lastColumn="0" w:noHBand="0" w:noVBand="1"/>
        </w:tblPrEx>
        <w:tc>
          <w:tcPr>
            <w:tcW w:w="2500" w:type="pct"/>
            <w:shd w:val="clear" w:color="auto" w:fill="auto"/>
          </w:tcPr>
          <w:p w:rsidR="00D9472D" w:rsidRDefault="00D9472D">
            <w:pPr>
              <w:rPr>
                <w:szCs w:val="22"/>
              </w:rPr>
            </w:pPr>
          </w:p>
        </w:tc>
        <w:tc>
          <w:tcPr>
            <w:tcW w:w="2500" w:type="pct"/>
            <w:shd w:val="clear" w:color="auto" w:fill="auto"/>
          </w:tcPr>
          <w:p w:rsidR="00D9472D" w:rsidRDefault="002E5D08">
            <w:pPr>
              <w:tabs>
                <w:tab w:val="left" w:pos="1951"/>
                <w:tab w:val="left" w:pos="4502"/>
              </w:tabs>
              <w:rPr>
                <w:b/>
                <w:szCs w:val="22"/>
              </w:rPr>
            </w:pPr>
            <w:r>
              <w:rPr>
                <w:b/>
              </w:rPr>
              <w:t>1. Ugovori o nabavi radova bojenja utemeljeni na učinkovitosti</w:t>
            </w:r>
          </w:p>
          <w:p w:rsidR="00D9472D" w:rsidRDefault="002E5D08">
            <w:pPr>
              <w:tabs>
                <w:tab w:val="left" w:pos="1951"/>
                <w:tab w:val="left" w:pos="4502"/>
              </w:tabs>
              <w:rPr>
                <w:i/>
                <w:szCs w:val="22"/>
              </w:rPr>
            </w:pPr>
            <w:r>
              <w:rPr>
                <w:i/>
              </w:rPr>
              <w:t>(Kada se nude dugoročni ugovori za radove bojenja i održavanja utemeljeni na učinkovitosti)</w:t>
            </w:r>
          </w:p>
          <w:p w:rsidR="00D9472D" w:rsidRDefault="00D9472D">
            <w:pPr>
              <w:tabs>
                <w:tab w:val="left" w:pos="1951"/>
                <w:tab w:val="left" w:pos="4502"/>
              </w:tabs>
              <w:rPr>
                <w:i/>
                <w:szCs w:val="22"/>
              </w:rPr>
            </w:pPr>
          </w:p>
          <w:p w:rsidR="00D9472D" w:rsidRDefault="002E5D08">
            <w:pPr>
              <w:tabs>
                <w:tab w:val="left" w:pos="1951"/>
                <w:tab w:val="left" w:pos="4502"/>
              </w:tabs>
              <w:rPr>
                <w:szCs w:val="22"/>
              </w:rPr>
            </w:pPr>
            <w:r>
              <w:t>Bodovi se dodjeljuju</w:t>
            </w:r>
            <w:r>
              <w:t xml:space="preserve"> prema procijenjenoj količini boje koja će se upotrijebiti za održavanje kvalitete obojene površine tijekom razdoblja valjanosti ugovora.</w:t>
            </w:r>
          </w:p>
          <w:p w:rsidR="00D9472D" w:rsidRDefault="00D9472D">
            <w:pPr>
              <w:tabs>
                <w:tab w:val="left" w:pos="1951"/>
                <w:tab w:val="left" w:pos="4502"/>
              </w:tabs>
              <w:rPr>
                <w:szCs w:val="22"/>
              </w:rPr>
            </w:pPr>
          </w:p>
          <w:p w:rsidR="00D9472D" w:rsidRDefault="002E5D08">
            <w:pPr>
              <w:tabs>
                <w:tab w:val="left" w:pos="1951"/>
                <w:tab w:val="left" w:pos="4502"/>
              </w:tabs>
              <w:rPr>
                <w:b/>
                <w:szCs w:val="22"/>
              </w:rPr>
            </w:pPr>
            <w:r>
              <w:rPr>
                <w:b/>
              </w:rPr>
              <w:t>Provjera:</w:t>
            </w:r>
          </w:p>
          <w:p w:rsidR="00D9472D" w:rsidRDefault="002E5D08">
            <w:pPr>
              <w:tabs>
                <w:tab w:val="left" w:pos="1951"/>
                <w:tab w:val="left" w:pos="4502"/>
              </w:tabs>
              <w:rPr>
                <w:szCs w:val="22"/>
              </w:rPr>
            </w:pPr>
            <w:r>
              <w:t>Ponuditelj dostavlja dokument u kojem utvrđuje procijenjene količine boje potrebne tijekom ugovorenog progr</w:t>
            </w:r>
            <w:r>
              <w:t>ama, uključujući pretpostavke o potrebnom broju ponovnih bojenja tijekom razdoblja valjanosti ugovora.</w:t>
            </w:r>
          </w:p>
          <w:p w:rsidR="00D9472D" w:rsidRDefault="00D9472D">
            <w:pPr>
              <w:tabs>
                <w:tab w:val="left" w:pos="1951"/>
                <w:tab w:val="left" w:pos="4502"/>
              </w:tabs>
              <w:rPr>
                <w:b/>
                <w:szCs w:val="22"/>
              </w:rPr>
            </w:pPr>
          </w:p>
        </w:tc>
      </w:tr>
      <w:tr w:rsidR="00D9472D">
        <w:tblPrEx>
          <w:tblLook w:val="04A0" w:firstRow="1" w:lastRow="0" w:firstColumn="1" w:lastColumn="0" w:noHBand="0" w:noVBand="1"/>
        </w:tblPrEx>
        <w:tc>
          <w:tcPr>
            <w:tcW w:w="2500" w:type="pct"/>
            <w:shd w:val="clear" w:color="auto" w:fill="auto"/>
          </w:tcPr>
          <w:p w:rsidR="00D9472D" w:rsidRDefault="00D9472D">
            <w:pPr>
              <w:rPr>
                <w:szCs w:val="22"/>
              </w:rPr>
            </w:pPr>
          </w:p>
        </w:tc>
        <w:tc>
          <w:tcPr>
            <w:tcW w:w="2500" w:type="pct"/>
            <w:shd w:val="clear" w:color="auto" w:fill="auto"/>
          </w:tcPr>
          <w:p w:rsidR="00D9472D" w:rsidRDefault="002E5D08">
            <w:pPr>
              <w:tabs>
                <w:tab w:val="left" w:pos="1951"/>
                <w:tab w:val="left" w:pos="4502"/>
              </w:tabs>
              <w:rPr>
                <w:b/>
                <w:szCs w:val="22"/>
              </w:rPr>
            </w:pPr>
            <w:r>
              <w:rPr>
                <w:b/>
              </w:rPr>
              <w:t>2. Ponovna upotreba i/ili recikliranje otpadne i neiskorištene boje</w:t>
            </w:r>
          </w:p>
          <w:p w:rsidR="00D9472D" w:rsidRDefault="00D9472D">
            <w:pPr>
              <w:tabs>
                <w:tab w:val="left" w:pos="1951"/>
                <w:tab w:val="left" w:pos="4502"/>
              </w:tabs>
              <w:rPr>
                <w:b/>
                <w:szCs w:val="22"/>
              </w:rPr>
            </w:pPr>
          </w:p>
          <w:p w:rsidR="00D9472D" w:rsidRDefault="002E5D08">
            <w:pPr>
              <w:spacing w:before="120" w:after="120"/>
              <w:rPr>
                <w:szCs w:val="22"/>
              </w:rPr>
            </w:pPr>
            <w:r>
              <w:t>Dodjeljuju se bodovi koji odražavaju predanost ponovnoj upotrebi ili recikliranju otpadne i neiskorištene boje. Ponuditelj dostavlja plan gospodarenja otpadom kojim utvrđuje mehanizme uspostavljene kako bi se osiguralo da će otpadnu i neiskorištenu boju na</w:t>
            </w:r>
            <w:r>
              <w:t>stalu tijekom radova:</w:t>
            </w:r>
          </w:p>
          <w:p w:rsidR="00D9472D" w:rsidRDefault="002E5D08">
            <w:pPr>
              <w:pStyle w:val="ListParagraph"/>
              <w:numPr>
                <w:ilvl w:val="0"/>
                <w:numId w:val="24"/>
              </w:numPr>
              <w:spacing w:before="120" w:after="120"/>
              <w:rPr>
                <w:szCs w:val="22"/>
              </w:rPr>
            </w:pPr>
            <w:r>
              <w:t>ugovaratelj ponovno upotrijebiti i/ili</w:t>
            </w:r>
          </w:p>
          <w:p w:rsidR="00D9472D" w:rsidRDefault="002E5D08">
            <w:pPr>
              <w:pStyle w:val="ListParagraph"/>
              <w:numPr>
                <w:ilvl w:val="0"/>
                <w:numId w:val="24"/>
              </w:numPr>
              <w:spacing w:before="120" w:after="120"/>
              <w:rPr>
                <w:szCs w:val="22"/>
              </w:rPr>
            </w:pPr>
            <w:r>
              <w:t>ponovno upotrijebiti drugi vanjski subjekt i/ili</w:t>
            </w:r>
          </w:p>
          <w:p w:rsidR="00D9472D" w:rsidRDefault="002E5D08">
            <w:pPr>
              <w:pStyle w:val="ListParagraph"/>
              <w:numPr>
                <w:ilvl w:val="0"/>
                <w:numId w:val="24"/>
              </w:numPr>
              <w:spacing w:before="120" w:after="120"/>
              <w:rPr>
                <w:szCs w:val="22"/>
              </w:rPr>
            </w:pPr>
            <w:r>
              <w:t>reciklirati.</w:t>
            </w:r>
          </w:p>
          <w:p w:rsidR="00D9472D" w:rsidRDefault="002E5D08">
            <w:pPr>
              <w:spacing w:before="120" w:after="120"/>
              <w:rPr>
                <w:szCs w:val="22"/>
              </w:rPr>
            </w:pPr>
            <w:r>
              <w:t>Putovi ponovne upotrebe ili recikliranja mogli bi uključivati projekte u kojima će se boja ponovno upotrijebiti ili proizvodnju nove boje uz primjenu otpadne i neiskorištene boje kao osnove. Za praćenje otpadne i neiskorištene boje upotrebljava se sustav z</w:t>
            </w:r>
            <w:r>
              <w:t>a praćenje.</w:t>
            </w:r>
          </w:p>
          <w:p w:rsidR="00D9472D" w:rsidRDefault="00D9472D">
            <w:pPr>
              <w:spacing w:before="120" w:after="120"/>
              <w:rPr>
                <w:szCs w:val="22"/>
              </w:rPr>
            </w:pPr>
          </w:p>
          <w:p w:rsidR="00D9472D" w:rsidRDefault="002E5D08">
            <w:pPr>
              <w:rPr>
                <w:b/>
                <w:szCs w:val="22"/>
              </w:rPr>
            </w:pPr>
            <w:r>
              <w:rPr>
                <w:b/>
              </w:rPr>
              <w:t>Provjera:</w:t>
            </w:r>
          </w:p>
          <w:p w:rsidR="00D9472D" w:rsidRDefault="002E5D08">
            <w:pPr>
              <w:rPr>
                <w:szCs w:val="22"/>
              </w:rPr>
            </w:pPr>
            <w:r>
              <w:t>Ponuditelj dostavlja dokumentirani plan gospodarenja otpadom koji uključuje opis uspostavljenih mehanizama kojima se osigurava da će ugovaratelj i/ili drugo vanjsko tijelo ponovno upotrijebiti i/ili reciklirati otpadnu i neiskorišten</w:t>
            </w:r>
            <w:r>
              <w:t>u boju.</w:t>
            </w:r>
          </w:p>
          <w:p w:rsidR="00D9472D" w:rsidRDefault="00D9472D">
            <w:pPr>
              <w:tabs>
                <w:tab w:val="left" w:pos="1951"/>
                <w:tab w:val="left" w:pos="4502"/>
              </w:tabs>
              <w:rPr>
                <w:b/>
                <w:szCs w:val="22"/>
              </w:rPr>
            </w:pPr>
          </w:p>
        </w:tc>
      </w:tr>
      <w:tr w:rsidR="00D9472D">
        <w:tblPrEx>
          <w:tblLook w:val="04A0" w:firstRow="1" w:lastRow="0" w:firstColumn="1" w:lastColumn="0" w:noHBand="0" w:noVBand="1"/>
        </w:tblPrEx>
        <w:tc>
          <w:tcPr>
            <w:tcW w:w="5000" w:type="pct"/>
            <w:gridSpan w:val="2"/>
            <w:shd w:val="clear" w:color="auto" w:fill="92D050"/>
          </w:tcPr>
          <w:p w:rsidR="00D9472D" w:rsidRDefault="002E5D08">
            <w:pPr>
              <w:spacing w:before="40" w:after="40"/>
              <w:jc w:val="center"/>
              <w:rPr>
                <w:b/>
                <w:szCs w:val="22"/>
              </w:rPr>
            </w:pPr>
            <w:r>
              <w:rPr>
                <w:b/>
              </w:rPr>
              <w:t>ODREDBE O IZVRŠENJU UGOVORA</w:t>
            </w:r>
          </w:p>
        </w:tc>
      </w:tr>
      <w:tr w:rsidR="00D9472D">
        <w:tblPrEx>
          <w:tblLook w:val="04A0" w:firstRow="1" w:lastRow="0" w:firstColumn="1" w:lastColumn="0" w:noHBand="0" w:noVBand="1"/>
        </w:tblPrEx>
        <w:tc>
          <w:tcPr>
            <w:tcW w:w="5000" w:type="pct"/>
            <w:gridSpan w:val="2"/>
            <w:shd w:val="clear" w:color="auto" w:fill="auto"/>
          </w:tcPr>
          <w:p w:rsidR="00D9472D" w:rsidRDefault="002E5D08">
            <w:pPr>
              <w:tabs>
                <w:tab w:val="left" w:pos="1951"/>
                <w:tab w:val="left" w:pos="4502"/>
              </w:tabs>
              <w:rPr>
                <w:b/>
                <w:szCs w:val="22"/>
              </w:rPr>
            </w:pPr>
            <w:r>
              <w:rPr>
                <w:b/>
              </w:rPr>
              <w:t>1. Upravljanje rukovanjem bojom</w:t>
            </w:r>
          </w:p>
          <w:p w:rsidR="00D9472D" w:rsidRDefault="002E5D08">
            <w:pPr>
              <w:rPr>
                <w:bCs/>
                <w:i/>
                <w:szCs w:val="22"/>
              </w:rPr>
            </w:pPr>
            <w:r>
              <w:rPr>
                <w:i/>
              </w:rPr>
              <w:t>(Isto za osnovna i sveobuhvatna mjerila)</w:t>
            </w:r>
          </w:p>
          <w:p w:rsidR="00D9472D" w:rsidRDefault="00D9472D">
            <w:pPr>
              <w:rPr>
                <w:bCs/>
                <w:i/>
                <w:szCs w:val="22"/>
              </w:rPr>
            </w:pPr>
          </w:p>
          <w:p w:rsidR="00D9472D" w:rsidRDefault="002E5D08">
            <w:pPr>
              <w:rPr>
                <w:szCs w:val="22"/>
              </w:rPr>
            </w:pPr>
            <w:r>
              <w:t>Ugovaratelj dostavlja evidenciju o (</w:t>
            </w:r>
            <w:r>
              <w:rPr>
                <w:i/>
              </w:rPr>
              <w:t>za ugovore utemeljene na učinkovitosti</w:t>
            </w:r>
            <w:r>
              <w:t>):</w:t>
            </w:r>
          </w:p>
          <w:p w:rsidR="00D9472D" w:rsidRDefault="002E5D08">
            <w:pPr>
              <w:pStyle w:val="ListParagraph"/>
              <w:numPr>
                <w:ilvl w:val="0"/>
                <w:numId w:val="14"/>
              </w:numPr>
              <w:rPr>
                <w:szCs w:val="22"/>
              </w:rPr>
            </w:pPr>
            <w:r>
              <w:t>količini kupljene boje</w:t>
            </w:r>
          </w:p>
          <w:p w:rsidR="00D9472D" w:rsidRDefault="002E5D08">
            <w:pPr>
              <w:pStyle w:val="ListParagraph"/>
              <w:numPr>
                <w:ilvl w:val="0"/>
                <w:numId w:val="14"/>
              </w:numPr>
              <w:rPr>
                <w:szCs w:val="22"/>
              </w:rPr>
            </w:pPr>
            <w:r>
              <w:t xml:space="preserve">količini boje koja je stvarno </w:t>
            </w:r>
            <w:r>
              <w:t>upotrijebljena za ispunjavanje specifikacija ugovora.</w:t>
            </w:r>
          </w:p>
          <w:p w:rsidR="00D9472D" w:rsidRDefault="00D9472D">
            <w:pPr>
              <w:rPr>
                <w:szCs w:val="22"/>
              </w:rPr>
            </w:pPr>
          </w:p>
          <w:p w:rsidR="00D9472D" w:rsidRDefault="002E5D08">
            <w:pPr>
              <w:rPr>
                <w:szCs w:val="22"/>
              </w:rPr>
            </w:pPr>
            <w:r>
              <w:t>Ugovaratelj dostavlja i evidenciju za otpadnu i neiskorištenu boju, uključujući podatke o praćenju boje:</w:t>
            </w:r>
          </w:p>
          <w:p w:rsidR="00D9472D" w:rsidRDefault="002E5D08">
            <w:pPr>
              <w:pStyle w:val="ListParagraph"/>
              <w:numPr>
                <w:ilvl w:val="0"/>
                <w:numId w:val="13"/>
              </w:numPr>
              <w:rPr>
                <w:szCs w:val="22"/>
              </w:rPr>
            </w:pPr>
            <w:r>
              <w:t>koju je ugovaratelj ponovno upotrijebio</w:t>
            </w:r>
          </w:p>
          <w:p w:rsidR="00D9472D" w:rsidRDefault="002E5D08">
            <w:pPr>
              <w:pStyle w:val="ListParagraph"/>
              <w:numPr>
                <w:ilvl w:val="0"/>
                <w:numId w:val="13"/>
              </w:numPr>
              <w:rPr>
                <w:szCs w:val="22"/>
              </w:rPr>
            </w:pPr>
            <w:r>
              <w:t>koju je ponovno upotrijebio drugi vanjski subjekt</w:t>
            </w:r>
          </w:p>
          <w:p w:rsidR="00D9472D" w:rsidRDefault="002E5D08">
            <w:pPr>
              <w:pStyle w:val="ListParagraph"/>
              <w:numPr>
                <w:ilvl w:val="0"/>
                <w:numId w:val="13"/>
              </w:numPr>
              <w:rPr>
                <w:szCs w:val="22"/>
              </w:rPr>
            </w:pPr>
            <w:r>
              <w:t>koja j</w:t>
            </w:r>
            <w:r>
              <w:t>e reciklirana</w:t>
            </w:r>
          </w:p>
          <w:p w:rsidR="00D9472D" w:rsidRDefault="002E5D08">
            <w:pPr>
              <w:pStyle w:val="ListParagraph"/>
              <w:numPr>
                <w:ilvl w:val="0"/>
                <w:numId w:val="13"/>
              </w:numPr>
              <w:rPr>
                <w:szCs w:val="22"/>
              </w:rPr>
            </w:pPr>
            <w:r>
              <w:t>koja je sigurno odložena.</w:t>
            </w:r>
          </w:p>
          <w:p w:rsidR="00D9472D" w:rsidRDefault="00D9472D">
            <w:pPr>
              <w:rPr>
                <w:szCs w:val="22"/>
              </w:rPr>
            </w:pPr>
          </w:p>
          <w:p w:rsidR="00D9472D" w:rsidRDefault="002E5D08">
            <w:pPr>
              <w:rPr>
                <w:szCs w:val="22"/>
              </w:rPr>
            </w:pPr>
            <w:r>
              <w:t>Ako se s podloge morao ukloniti sloj stare boje, ugovaratelj dostavlja i evidenciju koja pokazuje:</w:t>
            </w:r>
          </w:p>
          <w:p w:rsidR="00D9472D" w:rsidRDefault="002E5D08">
            <w:pPr>
              <w:pStyle w:val="ListParagraph"/>
              <w:numPr>
                <w:ilvl w:val="0"/>
                <w:numId w:val="13"/>
              </w:numPr>
              <w:rPr>
                <w:szCs w:val="22"/>
              </w:rPr>
            </w:pPr>
            <w:r>
              <w:t>da se s bojom sigurno rukovalo</w:t>
            </w:r>
          </w:p>
          <w:p w:rsidR="00D9472D" w:rsidRDefault="002E5D08">
            <w:pPr>
              <w:pStyle w:val="ListParagraph"/>
              <w:numPr>
                <w:ilvl w:val="0"/>
                <w:numId w:val="13"/>
              </w:numPr>
              <w:rPr>
                <w:szCs w:val="22"/>
              </w:rPr>
            </w:pPr>
            <w:r>
              <w:t>da je zbrinuta na siguran način kako bi se obradila kao opasan otpad.</w:t>
            </w:r>
          </w:p>
          <w:p w:rsidR="00D9472D" w:rsidRDefault="00D9472D">
            <w:pPr>
              <w:rPr>
                <w:szCs w:val="22"/>
              </w:rPr>
            </w:pPr>
          </w:p>
        </w:tc>
      </w:tr>
    </w:tbl>
    <w:p w:rsidR="00D9472D" w:rsidRDefault="00D9472D">
      <w:pPr>
        <w:sectPr w:rsidR="00D9472D">
          <w:headerReference w:type="even" r:id="rId59"/>
          <w:headerReference w:type="default" r:id="rId60"/>
          <w:footerReference w:type="even" r:id="rId61"/>
          <w:footerReference w:type="default" r:id="rId62"/>
          <w:headerReference w:type="first" r:id="rId63"/>
          <w:footerReference w:type="first" r:id="rId64"/>
          <w:pgSz w:w="16838" w:h="11906" w:orient="landscape"/>
          <w:pgMar w:top="1800" w:right="1440" w:bottom="1800" w:left="1440" w:header="708" w:footer="708" w:gutter="0"/>
          <w:cols w:space="708"/>
          <w:titlePg/>
          <w:docGrid w:linePitch="360"/>
        </w:sectPr>
      </w:pPr>
    </w:p>
    <w:p w:rsidR="00D9472D" w:rsidRDefault="00D9472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7"/>
        <w:gridCol w:w="7087"/>
      </w:tblGrid>
      <w:tr w:rsidR="00D9472D">
        <w:tc>
          <w:tcPr>
            <w:tcW w:w="5000" w:type="pct"/>
            <w:gridSpan w:val="2"/>
            <w:shd w:val="clear" w:color="auto" w:fill="auto"/>
          </w:tcPr>
          <w:p w:rsidR="00D9472D" w:rsidRDefault="002E5D08">
            <w:pPr>
              <w:pStyle w:val="Heading2"/>
            </w:pPr>
            <w:r>
              <w:br w:type="page"/>
              <w:t>Oznake na kolniku</w:t>
            </w:r>
          </w:p>
        </w:tc>
      </w:tr>
      <w:tr w:rsidR="00D9472D">
        <w:tc>
          <w:tcPr>
            <w:tcW w:w="2500" w:type="pct"/>
            <w:shd w:val="clear" w:color="auto" w:fill="FFC000"/>
            <w:vAlign w:val="center"/>
          </w:tcPr>
          <w:p w:rsidR="00D9472D" w:rsidRDefault="002E5D08">
            <w:pPr>
              <w:spacing w:before="40" w:after="40"/>
              <w:jc w:val="center"/>
              <w:rPr>
                <w:b/>
                <w:szCs w:val="22"/>
              </w:rPr>
            </w:pPr>
            <w:r>
              <w:rPr>
                <w:b/>
              </w:rPr>
              <w:t>Osnovna mjerila</w:t>
            </w:r>
          </w:p>
        </w:tc>
        <w:tc>
          <w:tcPr>
            <w:tcW w:w="2500" w:type="pct"/>
            <w:shd w:val="clear" w:color="auto" w:fill="FFC000"/>
            <w:vAlign w:val="center"/>
          </w:tcPr>
          <w:p w:rsidR="00D9472D" w:rsidRDefault="002E5D08">
            <w:pPr>
              <w:spacing w:before="40" w:after="40"/>
              <w:jc w:val="center"/>
              <w:rPr>
                <w:szCs w:val="22"/>
              </w:rPr>
            </w:pPr>
            <w:r>
              <w:rPr>
                <w:b/>
              </w:rPr>
              <w:t>Sveobuhvatna mjerila</w:t>
            </w:r>
          </w:p>
        </w:tc>
      </w:tr>
      <w:tr w:rsidR="00D9472D">
        <w:tc>
          <w:tcPr>
            <w:tcW w:w="5000" w:type="pct"/>
            <w:gridSpan w:val="2"/>
            <w:shd w:val="clear" w:color="auto" w:fill="92D050"/>
            <w:vAlign w:val="center"/>
          </w:tcPr>
          <w:p w:rsidR="00D9472D" w:rsidRDefault="002E5D08">
            <w:pPr>
              <w:spacing w:before="40" w:after="40"/>
              <w:jc w:val="center"/>
              <w:rPr>
                <w:b/>
                <w:szCs w:val="22"/>
              </w:rPr>
            </w:pPr>
            <w:r>
              <w:rPr>
                <w:b/>
              </w:rPr>
              <w:t>PREDMET</w:t>
            </w:r>
          </w:p>
        </w:tc>
      </w:tr>
      <w:tr w:rsidR="00D9472D">
        <w:tc>
          <w:tcPr>
            <w:tcW w:w="5000" w:type="pct"/>
            <w:gridSpan w:val="2"/>
            <w:shd w:val="clear" w:color="auto" w:fill="92D050"/>
          </w:tcPr>
          <w:p w:rsidR="00D9472D" w:rsidRDefault="002E5D08">
            <w:pPr>
              <w:spacing w:before="40" w:after="40"/>
              <w:jc w:val="center"/>
              <w:rPr>
                <w:b/>
                <w:bCs/>
                <w:szCs w:val="20"/>
              </w:rPr>
            </w:pPr>
            <w:r>
              <w:rPr>
                <w:b/>
              </w:rPr>
              <w:t>Nabava oznaka na kolniku sa smanjenim utjecajem na okoliš</w:t>
            </w:r>
          </w:p>
        </w:tc>
      </w:tr>
      <w:tr w:rsidR="00D9472D">
        <w:tblPrEx>
          <w:tblLook w:val="04A0" w:firstRow="1" w:lastRow="0" w:firstColumn="1" w:lastColumn="0" w:noHBand="0" w:noVBand="1"/>
        </w:tblPrEx>
        <w:tc>
          <w:tcPr>
            <w:tcW w:w="5000" w:type="pct"/>
            <w:gridSpan w:val="2"/>
            <w:shd w:val="clear" w:color="auto" w:fill="92D050"/>
          </w:tcPr>
          <w:p w:rsidR="00D9472D" w:rsidRDefault="002E5D08">
            <w:pPr>
              <w:spacing w:before="40" w:after="40"/>
              <w:jc w:val="center"/>
              <w:rPr>
                <w:b/>
                <w:szCs w:val="22"/>
              </w:rPr>
            </w:pPr>
            <w:r>
              <w:rPr>
                <w:b/>
              </w:rPr>
              <w:t>TEHNIČKE SPECIFIKACIJE</w:t>
            </w:r>
          </w:p>
        </w:tc>
      </w:tr>
      <w:tr w:rsidR="00D9472D">
        <w:tblPrEx>
          <w:tblLook w:val="04A0" w:firstRow="1" w:lastRow="0" w:firstColumn="1" w:lastColumn="0" w:noHBand="0" w:noVBand="1"/>
        </w:tblPrEx>
        <w:tc>
          <w:tcPr>
            <w:tcW w:w="5000" w:type="pct"/>
            <w:gridSpan w:val="2"/>
            <w:shd w:val="clear" w:color="auto" w:fill="auto"/>
          </w:tcPr>
          <w:p w:rsidR="00D9472D" w:rsidRDefault="002E5D08">
            <w:pPr>
              <w:spacing w:before="120"/>
              <w:rPr>
                <w:b/>
                <w:szCs w:val="22"/>
              </w:rPr>
            </w:pPr>
            <w:r>
              <w:rPr>
                <w:b/>
              </w:rPr>
              <w:t xml:space="preserve">1. Formulacija </w:t>
            </w:r>
            <w:r>
              <w:rPr>
                <w:b/>
              </w:rPr>
              <w:t>oznaka na kolniku</w:t>
            </w:r>
          </w:p>
          <w:p w:rsidR="00D9472D" w:rsidRDefault="00D9472D">
            <w:pPr>
              <w:spacing w:before="120"/>
              <w:rPr>
                <w:b/>
                <w:szCs w:val="22"/>
              </w:rPr>
            </w:pPr>
          </w:p>
        </w:tc>
      </w:tr>
      <w:tr w:rsidR="00D9472D">
        <w:tblPrEx>
          <w:tblLook w:val="04A0" w:firstRow="1" w:lastRow="0" w:firstColumn="1" w:lastColumn="0" w:noHBand="0" w:noVBand="1"/>
        </w:tblPrEx>
        <w:tc>
          <w:tcPr>
            <w:tcW w:w="2500" w:type="pct"/>
            <w:shd w:val="clear" w:color="auto" w:fill="auto"/>
          </w:tcPr>
          <w:p w:rsidR="00D9472D" w:rsidRDefault="002E5D08">
            <w:pPr>
              <w:rPr>
                <w:b/>
                <w:szCs w:val="22"/>
              </w:rPr>
            </w:pPr>
            <w:r>
              <w:rPr>
                <w:b/>
              </w:rPr>
              <w:t>1.1. Udio hlapivih organskih spojeva (HOS-ova)</w:t>
            </w:r>
          </w:p>
          <w:p w:rsidR="00D9472D" w:rsidRDefault="00D9472D">
            <w:pPr>
              <w:rPr>
                <w:i/>
                <w:noProof/>
                <w:szCs w:val="22"/>
              </w:rPr>
            </w:pPr>
          </w:p>
          <w:p w:rsidR="00D9472D" w:rsidRDefault="002E5D08">
            <w:r>
              <w:t>i. Najveći udio hlapivih organskih spojeva ne smije premašiti graničnu vrijednost od 150 g/l. Udio hlapivih organskih spojeva određuje se za gotove proizvode spremne za uporabu i uključuje</w:t>
            </w:r>
            <w:r>
              <w:t xml:space="preserve"> sve preporučene dodatke prije nanošenja. Iz izračuna hlapivih organskih spojeva mogu se isključiti otapala koja imaju zanemariv doprinos nastanku smoga (navedena u Prilogu 4.).</w:t>
            </w:r>
          </w:p>
          <w:p w:rsidR="00D9472D" w:rsidRDefault="002E5D08">
            <w:r>
              <w:t xml:space="preserve">U iznimnim slučajevima, ako naručitelji odluče da se oznake na kolniku moraju </w:t>
            </w:r>
            <w:r>
              <w:t xml:space="preserve">primijeniti u vremenskim uvjetima koji sprečavaju upotrebu oznaka na kolniku s malim udjelom hlapivih organskih spojeva (relativna vlažnost zraka &gt; 80 %, temperatura zraka &lt; 5 ˚C ili </w:t>
            </w:r>
            <w:r>
              <w:br/>
              <w:t>&gt; 40 ˚C), ukupni udio hlapivih organskih spojeva ne smije premašiti 395 </w:t>
            </w:r>
            <w:r>
              <w:t>g/l.</w:t>
            </w:r>
          </w:p>
          <w:p w:rsidR="00D9472D" w:rsidRDefault="00D9472D">
            <w:pPr>
              <w:rPr>
                <w:noProof/>
                <w:szCs w:val="22"/>
              </w:rPr>
            </w:pPr>
          </w:p>
          <w:p w:rsidR="00D9472D" w:rsidRDefault="002E5D08">
            <w:pPr>
              <w:rPr>
                <w:noProof/>
                <w:szCs w:val="22"/>
              </w:rPr>
            </w:pPr>
            <w:r>
              <w:t>ii. Ne smiju se upotrebljavati sljedeći spojevi:</w:t>
            </w:r>
          </w:p>
          <w:p w:rsidR="00D9472D" w:rsidRDefault="002E5D08">
            <w:pPr>
              <w:pStyle w:val="Default"/>
              <w:numPr>
                <w:ilvl w:val="0"/>
                <w:numId w:val="17"/>
              </w:numPr>
              <w:spacing w:after="0"/>
              <w:ind w:left="993" w:hanging="284"/>
              <w:rPr>
                <w:sz w:val="22"/>
                <w:szCs w:val="22"/>
              </w:rPr>
            </w:pPr>
            <w:r>
              <w:rPr>
                <w:sz w:val="22"/>
              </w:rPr>
              <w:t xml:space="preserve">klorirana otapala, kao što su metilen klorid ili kloroalkani </w:t>
            </w:r>
          </w:p>
          <w:p w:rsidR="00D9472D" w:rsidRDefault="002E5D08">
            <w:pPr>
              <w:pStyle w:val="Default"/>
              <w:numPr>
                <w:ilvl w:val="0"/>
                <w:numId w:val="17"/>
              </w:numPr>
              <w:spacing w:after="0"/>
              <w:ind w:left="993" w:hanging="284"/>
              <w:rPr>
                <w:sz w:val="22"/>
                <w:szCs w:val="22"/>
              </w:rPr>
            </w:pPr>
            <w:r>
              <w:rPr>
                <w:sz w:val="22"/>
              </w:rPr>
              <w:t xml:space="preserve">aromatska otapala, kao što je benzen, etilbenzen, toluen ili ksilen </w:t>
            </w:r>
          </w:p>
          <w:p w:rsidR="00D9472D" w:rsidRDefault="002E5D08">
            <w:pPr>
              <w:pStyle w:val="Default"/>
              <w:numPr>
                <w:ilvl w:val="0"/>
                <w:numId w:val="17"/>
              </w:numPr>
              <w:spacing w:after="0"/>
              <w:ind w:left="993" w:hanging="284"/>
              <w:rPr>
                <w:sz w:val="22"/>
                <w:szCs w:val="22"/>
              </w:rPr>
            </w:pPr>
            <w:r>
              <w:rPr>
                <w:sz w:val="22"/>
              </w:rPr>
              <w:t>glikol eteri na bazi etilena ili njihovi acetati.</w:t>
            </w:r>
          </w:p>
          <w:p w:rsidR="00D9472D" w:rsidRDefault="00D9472D">
            <w:pPr>
              <w:rPr>
                <w:noProof/>
                <w:szCs w:val="22"/>
              </w:rPr>
            </w:pPr>
          </w:p>
          <w:p w:rsidR="00D9472D" w:rsidRDefault="002E5D08">
            <w:pPr>
              <w:rPr>
                <w:b/>
                <w:bCs/>
                <w:szCs w:val="22"/>
              </w:rPr>
            </w:pPr>
            <w:r>
              <w:rPr>
                <w:b/>
              </w:rPr>
              <w:t>Provjera:</w:t>
            </w:r>
          </w:p>
          <w:p w:rsidR="00D9472D" w:rsidRDefault="002E5D08">
            <w:pPr>
              <w:rPr>
                <w:noProof/>
                <w:szCs w:val="22"/>
              </w:rPr>
            </w:pPr>
            <w:r>
              <w:t>Ponuditel</w:t>
            </w:r>
            <w:r>
              <w:t>j dostavlja rezultate izračuna na temelju sastojaka i sirovina ili izvješće o ispitivanju u skladu s normom ISO EN 11890-2, ASTMD 2369 (ako su prisutna reaktivna otapala) ili jednakovrijednom normom koje je potkrijepljeno potrebnim izračunima. Uz to, dosta</w:t>
            </w:r>
            <w:r>
              <w:t>vlja se i izjava da se ne upotrebljavaju otapala koja su posebno isključena.</w:t>
            </w:r>
          </w:p>
          <w:p w:rsidR="00D9472D" w:rsidRDefault="00D9472D">
            <w:pPr>
              <w:rPr>
                <w:szCs w:val="22"/>
              </w:rPr>
            </w:pPr>
          </w:p>
        </w:tc>
        <w:tc>
          <w:tcPr>
            <w:tcW w:w="2500" w:type="pct"/>
            <w:shd w:val="clear" w:color="auto" w:fill="auto"/>
          </w:tcPr>
          <w:p w:rsidR="00D9472D" w:rsidRDefault="002E5D08">
            <w:pPr>
              <w:rPr>
                <w:b/>
                <w:szCs w:val="22"/>
              </w:rPr>
            </w:pPr>
            <w:r>
              <w:rPr>
                <w:b/>
              </w:rPr>
              <w:t>1.1. Udio hlapivih organskih spojeva (HOS-ova)</w:t>
            </w:r>
          </w:p>
          <w:p w:rsidR="00D9472D" w:rsidRDefault="00D9472D">
            <w:pPr>
              <w:rPr>
                <w:szCs w:val="22"/>
              </w:rPr>
            </w:pPr>
          </w:p>
          <w:p w:rsidR="00D9472D" w:rsidRDefault="002E5D08">
            <w:r>
              <w:t xml:space="preserve">i. Najveći udio hlapivih organskih spojeva ne smije premašiti graničnu vrijednost od 100 g/l. </w:t>
            </w:r>
          </w:p>
          <w:p w:rsidR="00D9472D" w:rsidRDefault="00D9472D">
            <w:pPr>
              <w:rPr>
                <w:noProof/>
                <w:szCs w:val="22"/>
              </w:rPr>
            </w:pPr>
          </w:p>
          <w:p w:rsidR="00D9472D" w:rsidRDefault="002E5D08">
            <w:pPr>
              <w:rPr>
                <w:noProof/>
                <w:szCs w:val="22"/>
              </w:rPr>
            </w:pPr>
            <w:r>
              <w:t xml:space="preserve">ii. Ne smiju se upotrebljavati </w:t>
            </w:r>
            <w:r>
              <w:t>sljedeći spojevi:</w:t>
            </w:r>
          </w:p>
          <w:p w:rsidR="00D9472D" w:rsidRDefault="002E5D08">
            <w:pPr>
              <w:pStyle w:val="Default"/>
              <w:numPr>
                <w:ilvl w:val="0"/>
                <w:numId w:val="17"/>
              </w:numPr>
              <w:spacing w:after="0"/>
              <w:ind w:left="993" w:hanging="284"/>
              <w:rPr>
                <w:sz w:val="22"/>
                <w:szCs w:val="22"/>
              </w:rPr>
            </w:pPr>
            <w:r>
              <w:rPr>
                <w:sz w:val="22"/>
              </w:rPr>
              <w:t>klorirana otapala, kao što su metilen klorid ili kloroalkani</w:t>
            </w:r>
          </w:p>
          <w:p w:rsidR="00D9472D" w:rsidRDefault="002E5D08">
            <w:pPr>
              <w:pStyle w:val="Default"/>
              <w:numPr>
                <w:ilvl w:val="0"/>
                <w:numId w:val="17"/>
              </w:numPr>
              <w:spacing w:after="0"/>
              <w:ind w:left="993" w:hanging="284"/>
              <w:rPr>
                <w:sz w:val="22"/>
                <w:szCs w:val="22"/>
              </w:rPr>
            </w:pPr>
            <w:r>
              <w:rPr>
                <w:sz w:val="22"/>
              </w:rPr>
              <w:t>aromatska otapala, kao što je benzen, etilbenzen, toluen ili ksilen</w:t>
            </w:r>
          </w:p>
          <w:p w:rsidR="00D9472D" w:rsidRDefault="002E5D08">
            <w:pPr>
              <w:pStyle w:val="Default"/>
              <w:numPr>
                <w:ilvl w:val="0"/>
                <w:numId w:val="17"/>
              </w:numPr>
              <w:spacing w:after="0"/>
              <w:ind w:left="993" w:hanging="284"/>
              <w:rPr>
                <w:sz w:val="22"/>
                <w:szCs w:val="22"/>
              </w:rPr>
            </w:pPr>
            <w:r>
              <w:rPr>
                <w:sz w:val="22"/>
              </w:rPr>
              <w:t>glikol eteri na bazi etilena ili njihovi acetati.</w:t>
            </w:r>
          </w:p>
          <w:p w:rsidR="00D9472D" w:rsidRDefault="00D9472D">
            <w:pPr>
              <w:pStyle w:val="Default"/>
              <w:spacing w:after="0"/>
              <w:ind w:left="993"/>
              <w:rPr>
                <w:sz w:val="22"/>
                <w:szCs w:val="22"/>
              </w:rPr>
            </w:pPr>
          </w:p>
          <w:p w:rsidR="00D9472D" w:rsidRDefault="002E5D08">
            <w:pPr>
              <w:rPr>
                <w:b/>
                <w:bCs/>
                <w:szCs w:val="22"/>
              </w:rPr>
            </w:pPr>
            <w:r>
              <w:rPr>
                <w:b/>
              </w:rPr>
              <w:t>Provjera:</w:t>
            </w:r>
          </w:p>
          <w:p w:rsidR="00D9472D" w:rsidRDefault="002E5D08">
            <w:pPr>
              <w:rPr>
                <w:noProof/>
                <w:szCs w:val="22"/>
              </w:rPr>
            </w:pPr>
            <w:r>
              <w:t>Ponuditelj dostavlja rezultate izračuna na temel</w:t>
            </w:r>
            <w:r>
              <w:t>ju sastojaka i sirovina ili izvješće o ispitivanju u skladu s normom ISO EN 11890-2, ASTMD 2369 (ako su prisutna reaktivna otapala) ili jednakovrijednom normom koje je potkrijepljeno potrebnim izračunima. Uz to, dostavlja se i izjava da se ne upotrebljavaj</w:t>
            </w:r>
            <w:r>
              <w:t>u otapala koja su posebno isključena.</w:t>
            </w:r>
          </w:p>
        </w:tc>
      </w:tr>
      <w:tr w:rsidR="00D9472D">
        <w:tblPrEx>
          <w:tblLook w:val="04A0" w:firstRow="1" w:lastRow="0" w:firstColumn="1" w:lastColumn="0" w:noHBand="0" w:noVBand="1"/>
        </w:tblPrEx>
        <w:tc>
          <w:tcPr>
            <w:tcW w:w="2500" w:type="pct"/>
            <w:shd w:val="clear" w:color="auto" w:fill="auto"/>
          </w:tcPr>
          <w:p w:rsidR="00D9472D" w:rsidRDefault="002E5D08">
            <w:pPr>
              <w:tabs>
                <w:tab w:val="left" w:pos="1951"/>
                <w:tab w:val="left" w:pos="4502"/>
              </w:tabs>
              <w:spacing w:before="120"/>
              <w:rPr>
                <w:b/>
                <w:szCs w:val="22"/>
              </w:rPr>
            </w:pPr>
            <w:r>
              <w:rPr>
                <w:b/>
              </w:rPr>
              <w:t>1.2. Označivanje proizvoda s obzirom na opasnost</w:t>
            </w:r>
          </w:p>
          <w:p w:rsidR="00D9472D" w:rsidRDefault="00D9472D">
            <w:pPr>
              <w:tabs>
                <w:tab w:val="left" w:pos="1951"/>
                <w:tab w:val="left" w:pos="4502"/>
              </w:tabs>
              <w:rPr>
                <w:b/>
                <w:szCs w:val="22"/>
              </w:rPr>
            </w:pPr>
          </w:p>
          <w:p w:rsidR="00D9472D" w:rsidRDefault="002E5D08">
            <w:pPr>
              <w:rPr>
                <w:szCs w:val="22"/>
              </w:rPr>
            </w:pPr>
            <w:r>
              <w:t xml:space="preserve">Konačni proizvod ne smije biti razvrstan kao akutno toksičan, specifično toksičan za ciljane organe, karcinogen, mutagen ili reproduktivno toksičan te kao opasan po </w:t>
            </w:r>
            <w:r>
              <w:t>okoliš, u skladu s Uredbom (EZ) br. 1272/2008 (Uredba o CLP-u), kako je prikazano u tablici 13.</w:t>
            </w:r>
          </w:p>
          <w:p w:rsidR="00D9472D" w:rsidRDefault="00D9472D">
            <w:pPr>
              <w:rPr>
                <w:szCs w:val="22"/>
              </w:rPr>
            </w:pPr>
          </w:p>
          <w:p w:rsidR="00D9472D" w:rsidRDefault="002E5D08">
            <w:pPr>
              <w:rPr>
                <w:b/>
                <w:sz w:val="20"/>
                <w:szCs w:val="20"/>
              </w:rPr>
            </w:pPr>
            <w:r>
              <w:rPr>
                <w:b/>
                <w:sz w:val="20"/>
              </w:rPr>
              <w:t>Tablica </w:t>
            </w:r>
            <w:r>
              <w:rPr>
                <w:b/>
                <w:sz w:val="20"/>
                <w:szCs w:val="20"/>
              </w:rPr>
              <w:fldChar w:fldCharType="begin"/>
            </w:r>
            <w:r>
              <w:rPr>
                <w:b/>
                <w:sz w:val="20"/>
                <w:szCs w:val="20"/>
              </w:rPr>
              <w:instrText xml:space="preserve"> SEQ Table \* ARABIC </w:instrText>
            </w:r>
            <w:r>
              <w:rPr>
                <w:b/>
                <w:sz w:val="20"/>
                <w:szCs w:val="20"/>
              </w:rPr>
              <w:fldChar w:fldCharType="separate"/>
            </w:r>
            <w:r>
              <w:rPr>
                <w:b/>
                <w:noProof/>
                <w:sz w:val="20"/>
                <w:szCs w:val="20"/>
              </w:rPr>
              <w:t>13</w:t>
            </w:r>
            <w:r>
              <w:rPr>
                <w:b/>
                <w:noProof/>
                <w:sz w:val="20"/>
                <w:szCs w:val="20"/>
              </w:rPr>
              <w:fldChar w:fldCharType="end"/>
            </w:r>
            <w:r>
              <w:rPr>
                <w:b/>
                <w:sz w:val="20"/>
              </w:rPr>
              <w:t>. Razvrstavanje konačnog proizvoda</w:t>
            </w:r>
          </w:p>
          <w:tbl>
            <w:tblPr>
              <w:tblStyle w:val="TableGrid"/>
              <w:tblW w:w="6896" w:type="dxa"/>
              <w:tblLayout w:type="fixed"/>
              <w:tblLook w:val="04A0" w:firstRow="1" w:lastRow="0" w:firstColumn="1" w:lastColumn="0" w:noHBand="0" w:noVBand="1"/>
            </w:tblPr>
            <w:tblGrid>
              <w:gridCol w:w="4609"/>
              <w:gridCol w:w="2287"/>
            </w:tblGrid>
            <w:tr w:rsidR="00D9472D">
              <w:tc>
                <w:tcPr>
                  <w:tcW w:w="3342" w:type="pct"/>
                </w:tcPr>
                <w:p w:rsidR="00D9472D" w:rsidRDefault="002E5D08">
                  <w:r>
                    <w:t>Akutna toksičnost</w:t>
                  </w:r>
                </w:p>
              </w:tc>
              <w:tc>
                <w:tcPr>
                  <w:tcW w:w="1658" w:type="pct"/>
                </w:tcPr>
                <w:p w:rsidR="00D9472D" w:rsidRDefault="002E5D08">
                  <w:r>
                    <w:t>Ak. toks. 1</w:t>
                  </w:r>
                </w:p>
                <w:p w:rsidR="00D9472D" w:rsidRDefault="002E5D08">
                  <w:r>
                    <w:t>Ak. toks. 2</w:t>
                  </w:r>
                </w:p>
                <w:p w:rsidR="00D9472D" w:rsidRDefault="002E5D08">
                  <w:r>
                    <w:t>Ak. toks. 3</w:t>
                  </w:r>
                </w:p>
              </w:tc>
            </w:tr>
            <w:tr w:rsidR="00D9472D">
              <w:tc>
                <w:tcPr>
                  <w:tcW w:w="3342" w:type="pct"/>
                </w:tcPr>
                <w:p w:rsidR="00D9472D" w:rsidRDefault="002E5D08">
                  <w:r>
                    <w:t xml:space="preserve">Specifična toksičnost za ciljane organe – ponavljano izlaganje </w:t>
                  </w:r>
                </w:p>
                <w:p w:rsidR="00D9472D" w:rsidRDefault="002E5D08">
                  <w:r>
                    <w:t xml:space="preserve">Specifična toksičnost za ciljane organe – jednokratno izlaganje </w:t>
                  </w:r>
                </w:p>
              </w:tc>
              <w:tc>
                <w:tcPr>
                  <w:tcW w:w="1658" w:type="pct"/>
                </w:tcPr>
                <w:p w:rsidR="00D9472D" w:rsidRDefault="002E5D08">
                  <w:r>
                    <w:t>TCOP 1. ili 2.</w:t>
                  </w:r>
                </w:p>
                <w:p w:rsidR="00D9472D" w:rsidRDefault="002E5D08">
                  <w:r>
                    <w:t>TCOJ 1., 2. ili 3.</w:t>
                  </w:r>
                </w:p>
              </w:tc>
            </w:tr>
            <w:tr w:rsidR="00D9472D">
              <w:tc>
                <w:tcPr>
                  <w:tcW w:w="3342" w:type="pct"/>
                </w:tcPr>
                <w:p w:rsidR="00D9472D" w:rsidRDefault="002E5D08">
                  <w:r>
                    <w:t xml:space="preserve">Karcinogenost </w:t>
                  </w:r>
                </w:p>
              </w:tc>
              <w:tc>
                <w:tcPr>
                  <w:tcW w:w="1658" w:type="pct"/>
                </w:tcPr>
                <w:p w:rsidR="00D9472D" w:rsidRDefault="002E5D08">
                  <w:r>
                    <w:t>Karc. 1A</w:t>
                  </w:r>
                </w:p>
                <w:p w:rsidR="00D9472D" w:rsidRDefault="002E5D08">
                  <w:r>
                    <w:t>Karc. 1B</w:t>
                  </w:r>
                </w:p>
                <w:p w:rsidR="00D9472D" w:rsidRDefault="002E5D08">
                  <w:r>
                    <w:t>Karc. 2</w:t>
                  </w:r>
                </w:p>
              </w:tc>
            </w:tr>
            <w:tr w:rsidR="00D9472D">
              <w:tc>
                <w:tcPr>
                  <w:tcW w:w="3342" w:type="pct"/>
                </w:tcPr>
                <w:p w:rsidR="00D9472D" w:rsidRDefault="002E5D08">
                  <w:r>
                    <w:t xml:space="preserve">Mutageni učinak na zametne stanice </w:t>
                  </w:r>
                </w:p>
              </w:tc>
              <w:tc>
                <w:tcPr>
                  <w:tcW w:w="1658" w:type="pct"/>
                </w:tcPr>
                <w:p w:rsidR="00D9472D" w:rsidRDefault="002E5D08">
                  <w:r>
                    <w:t>Muta. 1A</w:t>
                  </w:r>
                </w:p>
                <w:p w:rsidR="00D9472D" w:rsidRDefault="002E5D08">
                  <w:r>
                    <w:t>Muta. 1B</w:t>
                  </w:r>
                </w:p>
                <w:p w:rsidR="00D9472D" w:rsidRDefault="002E5D08">
                  <w:r>
                    <w:t>Muta. 2</w:t>
                  </w:r>
                </w:p>
              </w:tc>
            </w:tr>
            <w:tr w:rsidR="00D9472D">
              <w:tc>
                <w:tcPr>
                  <w:tcW w:w="3342" w:type="pct"/>
                </w:tcPr>
                <w:p w:rsidR="00D9472D" w:rsidRDefault="002E5D08">
                  <w:r>
                    <w:t xml:space="preserve">Reproduktivna toksičnost </w:t>
                  </w:r>
                </w:p>
              </w:tc>
              <w:tc>
                <w:tcPr>
                  <w:tcW w:w="1658" w:type="pct"/>
                </w:tcPr>
                <w:p w:rsidR="00D9472D" w:rsidRDefault="002E5D08">
                  <w:r>
                    <w:t>Repr. 1A</w:t>
                  </w:r>
                </w:p>
                <w:p w:rsidR="00D9472D" w:rsidRDefault="002E5D08">
                  <w:r>
                    <w:t>Repr. 1B</w:t>
                  </w:r>
                </w:p>
                <w:p w:rsidR="00D9472D" w:rsidRDefault="002E5D08">
                  <w:r>
                    <w:t>Repr. 2</w:t>
                  </w:r>
                </w:p>
              </w:tc>
            </w:tr>
            <w:tr w:rsidR="00D9472D">
              <w:tc>
                <w:tcPr>
                  <w:tcW w:w="3342" w:type="pct"/>
                  <w:vMerge w:val="restart"/>
                </w:tcPr>
                <w:p w:rsidR="00D9472D" w:rsidRDefault="002E5D08">
                  <w:r>
                    <w:t>Opasno za vodeni okoliš</w:t>
                  </w:r>
                </w:p>
              </w:tc>
              <w:tc>
                <w:tcPr>
                  <w:tcW w:w="1658" w:type="pct"/>
                </w:tcPr>
                <w:p w:rsidR="00D9472D" w:rsidRDefault="002E5D08">
                  <w:r>
                    <w:t>Ak. toks. vod okol. 1.</w:t>
                  </w:r>
                </w:p>
              </w:tc>
            </w:tr>
            <w:tr w:rsidR="00D9472D">
              <w:tc>
                <w:tcPr>
                  <w:tcW w:w="3342" w:type="pct"/>
                  <w:vMerge/>
                </w:tcPr>
                <w:p w:rsidR="00D9472D" w:rsidRDefault="00D9472D"/>
              </w:tc>
              <w:tc>
                <w:tcPr>
                  <w:tcW w:w="1658" w:type="pct"/>
                </w:tcPr>
                <w:p w:rsidR="00D9472D" w:rsidRDefault="002E5D08">
                  <w:r>
                    <w:t>Kron. toks. vod. okol. 1. ili 2.</w:t>
                  </w:r>
                </w:p>
              </w:tc>
            </w:tr>
          </w:tbl>
          <w:p w:rsidR="00D9472D" w:rsidRDefault="00D9472D">
            <w:pPr>
              <w:rPr>
                <w:szCs w:val="22"/>
              </w:rPr>
            </w:pPr>
          </w:p>
          <w:p w:rsidR="00D9472D" w:rsidRDefault="00D9472D">
            <w:pPr>
              <w:rPr>
                <w:szCs w:val="22"/>
              </w:rPr>
            </w:pPr>
          </w:p>
          <w:p w:rsidR="00D9472D" w:rsidRDefault="00D9472D">
            <w:pPr>
              <w:rPr>
                <w:szCs w:val="22"/>
              </w:rPr>
            </w:pPr>
          </w:p>
          <w:p w:rsidR="00D9472D" w:rsidRDefault="002E5D08">
            <w:pPr>
              <w:rPr>
                <w:b/>
                <w:szCs w:val="22"/>
              </w:rPr>
            </w:pPr>
            <w:r>
              <w:rPr>
                <w:b/>
              </w:rPr>
              <w:t>Provjera:</w:t>
            </w:r>
          </w:p>
          <w:p w:rsidR="00D9472D" w:rsidRDefault="002E5D08">
            <w:pPr>
              <w:rPr>
                <w:szCs w:val="22"/>
              </w:rPr>
            </w:pPr>
            <w:r>
              <w:t xml:space="preserve">Ponuditelj dostavlja odgovarajuće dokumente kojima se potvrđuje da proizvodi koje treba </w:t>
            </w:r>
            <w:r>
              <w:t>dostaviti nisu razvrstani prema navedenim opasnostima.</w:t>
            </w:r>
          </w:p>
          <w:p w:rsidR="00D9472D" w:rsidRDefault="002E5D08">
            <w:pPr>
              <w:rPr>
                <w:szCs w:val="22"/>
              </w:rPr>
            </w:pPr>
            <w:r>
              <w:t>Dokumentacija o razvrstavanju smjese dostavlja se u skladu s pravilima utvrđenima u Uredbi (EZ) br. 1272/2008 (Uredba o CLP-u) i/ili sigurnosno-tehničkim listovima.</w:t>
            </w:r>
          </w:p>
          <w:p w:rsidR="00D9472D" w:rsidRDefault="00D9472D">
            <w:pPr>
              <w:rPr>
                <w:szCs w:val="22"/>
              </w:rPr>
            </w:pPr>
          </w:p>
        </w:tc>
        <w:tc>
          <w:tcPr>
            <w:tcW w:w="2500" w:type="pct"/>
            <w:shd w:val="clear" w:color="auto" w:fill="auto"/>
          </w:tcPr>
          <w:p w:rsidR="00D9472D" w:rsidRDefault="002E5D08">
            <w:pPr>
              <w:tabs>
                <w:tab w:val="left" w:pos="1951"/>
                <w:tab w:val="left" w:pos="4502"/>
              </w:tabs>
              <w:spacing w:before="120"/>
              <w:rPr>
                <w:b/>
                <w:szCs w:val="22"/>
              </w:rPr>
            </w:pPr>
            <w:r>
              <w:rPr>
                <w:b/>
              </w:rPr>
              <w:t>1.2. Označivanje proizvoda s obziro</w:t>
            </w:r>
            <w:r>
              <w:rPr>
                <w:b/>
              </w:rPr>
              <w:t>m na opasnost</w:t>
            </w:r>
          </w:p>
          <w:p w:rsidR="00D9472D" w:rsidRDefault="00D9472D">
            <w:pPr>
              <w:tabs>
                <w:tab w:val="left" w:pos="1951"/>
                <w:tab w:val="left" w:pos="4502"/>
              </w:tabs>
              <w:rPr>
                <w:b/>
                <w:szCs w:val="22"/>
              </w:rPr>
            </w:pPr>
          </w:p>
          <w:p w:rsidR="00D9472D" w:rsidRDefault="002E5D08">
            <w:pPr>
              <w:rPr>
                <w:szCs w:val="22"/>
              </w:rPr>
            </w:pPr>
            <w:r>
              <w:t>Konačni proizvod ne smije biti razvrstan kao akutno toksičan, specifično toksičan za ciljane organe, karcinogen, mutagen ili reproduktivno toksičan te kao opasan po okoliš, u skladu s Uredbom (EZ) br. 1272/2008 (Uredba o CLP-u), kako je prik</w:t>
            </w:r>
            <w:r>
              <w:t>azano u tablici 14.</w:t>
            </w:r>
          </w:p>
          <w:p w:rsidR="00D9472D" w:rsidRDefault="00D9472D">
            <w:pPr>
              <w:rPr>
                <w:szCs w:val="22"/>
              </w:rPr>
            </w:pPr>
          </w:p>
          <w:p w:rsidR="00D9472D" w:rsidRDefault="002E5D08">
            <w:pPr>
              <w:rPr>
                <w:b/>
                <w:sz w:val="20"/>
                <w:szCs w:val="20"/>
              </w:rPr>
            </w:pPr>
            <w:r>
              <w:rPr>
                <w:b/>
                <w:sz w:val="20"/>
              </w:rPr>
              <w:t>Tablica </w:t>
            </w:r>
            <w:r>
              <w:rPr>
                <w:b/>
                <w:sz w:val="20"/>
                <w:szCs w:val="20"/>
              </w:rPr>
              <w:fldChar w:fldCharType="begin"/>
            </w:r>
            <w:r>
              <w:rPr>
                <w:b/>
                <w:sz w:val="20"/>
                <w:szCs w:val="20"/>
              </w:rPr>
              <w:instrText xml:space="preserve"> SEQ Table \* ARABIC </w:instrText>
            </w:r>
            <w:r>
              <w:rPr>
                <w:b/>
                <w:sz w:val="20"/>
                <w:szCs w:val="20"/>
              </w:rPr>
              <w:fldChar w:fldCharType="separate"/>
            </w:r>
            <w:r>
              <w:rPr>
                <w:b/>
                <w:noProof/>
                <w:sz w:val="20"/>
                <w:szCs w:val="20"/>
              </w:rPr>
              <w:t>14</w:t>
            </w:r>
            <w:r>
              <w:rPr>
                <w:b/>
                <w:noProof/>
                <w:sz w:val="20"/>
                <w:szCs w:val="20"/>
              </w:rPr>
              <w:fldChar w:fldCharType="end"/>
            </w:r>
            <w:r>
              <w:rPr>
                <w:b/>
                <w:sz w:val="20"/>
              </w:rPr>
              <w:t>. Razvrstavanje konačnog proizvoda</w:t>
            </w:r>
          </w:p>
          <w:tbl>
            <w:tblPr>
              <w:tblStyle w:val="TableGrid"/>
              <w:tblW w:w="6896" w:type="dxa"/>
              <w:tblLayout w:type="fixed"/>
              <w:tblLook w:val="04A0" w:firstRow="1" w:lastRow="0" w:firstColumn="1" w:lastColumn="0" w:noHBand="0" w:noVBand="1"/>
            </w:tblPr>
            <w:tblGrid>
              <w:gridCol w:w="4609"/>
              <w:gridCol w:w="2287"/>
            </w:tblGrid>
            <w:tr w:rsidR="00D9472D">
              <w:tc>
                <w:tcPr>
                  <w:tcW w:w="3342" w:type="pct"/>
                </w:tcPr>
                <w:p w:rsidR="00D9472D" w:rsidRDefault="002E5D08">
                  <w:r>
                    <w:t>Akutna toksičnost</w:t>
                  </w:r>
                </w:p>
              </w:tc>
              <w:tc>
                <w:tcPr>
                  <w:tcW w:w="1658" w:type="pct"/>
                </w:tcPr>
                <w:p w:rsidR="00D9472D" w:rsidRDefault="002E5D08">
                  <w:r>
                    <w:t>Ak. toks. 1</w:t>
                  </w:r>
                </w:p>
                <w:p w:rsidR="00D9472D" w:rsidRDefault="002E5D08">
                  <w:r>
                    <w:t>Ak. toks. 2</w:t>
                  </w:r>
                </w:p>
                <w:p w:rsidR="00D9472D" w:rsidRDefault="002E5D08">
                  <w:r>
                    <w:t>Ak. toks. 3</w:t>
                  </w:r>
                </w:p>
              </w:tc>
            </w:tr>
            <w:tr w:rsidR="00D9472D">
              <w:tc>
                <w:tcPr>
                  <w:tcW w:w="3342" w:type="pct"/>
                </w:tcPr>
                <w:p w:rsidR="00D9472D" w:rsidRDefault="002E5D08">
                  <w:r>
                    <w:t xml:space="preserve">Specifična toksičnost za ciljane organe – ponavljano izlaganje </w:t>
                  </w:r>
                </w:p>
                <w:p w:rsidR="00D9472D" w:rsidRDefault="002E5D08">
                  <w:r>
                    <w:t xml:space="preserve">Specifična toksičnost za ciljane organe – jednokratno izlaganje </w:t>
                  </w:r>
                </w:p>
              </w:tc>
              <w:tc>
                <w:tcPr>
                  <w:tcW w:w="1658" w:type="pct"/>
                </w:tcPr>
                <w:p w:rsidR="00D9472D" w:rsidRDefault="002E5D08">
                  <w:r>
                    <w:t>TCOP 1. ili 2.</w:t>
                  </w:r>
                </w:p>
                <w:p w:rsidR="00D9472D" w:rsidRDefault="002E5D08">
                  <w:r>
                    <w:t>TCOJ 1., 2. ili 3.</w:t>
                  </w:r>
                </w:p>
              </w:tc>
            </w:tr>
            <w:tr w:rsidR="00D9472D">
              <w:tc>
                <w:tcPr>
                  <w:tcW w:w="3342" w:type="pct"/>
                </w:tcPr>
                <w:p w:rsidR="00D9472D" w:rsidRDefault="002E5D08">
                  <w:r>
                    <w:t xml:space="preserve">Karcinogenost </w:t>
                  </w:r>
                </w:p>
              </w:tc>
              <w:tc>
                <w:tcPr>
                  <w:tcW w:w="1658" w:type="pct"/>
                </w:tcPr>
                <w:p w:rsidR="00D9472D" w:rsidRDefault="002E5D08">
                  <w:r>
                    <w:t>Karc. 1A</w:t>
                  </w:r>
                </w:p>
                <w:p w:rsidR="00D9472D" w:rsidRDefault="002E5D08">
                  <w:r>
                    <w:t>Karc. 1B</w:t>
                  </w:r>
                </w:p>
                <w:p w:rsidR="00D9472D" w:rsidRDefault="002E5D08">
                  <w:r>
                    <w:t>Karc. 2</w:t>
                  </w:r>
                </w:p>
              </w:tc>
            </w:tr>
            <w:tr w:rsidR="00D9472D">
              <w:tc>
                <w:tcPr>
                  <w:tcW w:w="3342" w:type="pct"/>
                </w:tcPr>
                <w:p w:rsidR="00D9472D" w:rsidRDefault="002E5D08">
                  <w:r>
                    <w:t xml:space="preserve">Mutageni učinak na zametne stanice </w:t>
                  </w:r>
                </w:p>
              </w:tc>
              <w:tc>
                <w:tcPr>
                  <w:tcW w:w="1658" w:type="pct"/>
                </w:tcPr>
                <w:p w:rsidR="00D9472D" w:rsidRDefault="002E5D08">
                  <w:r>
                    <w:t>Muta. 1A</w:t>
                  </w:r>
                </w:p>
                <w:p w:rsidR="00D9472D" w:rsidRDefault="002E5D08">
                  <w:r>
                    <w:t>Muta. 1B</w:t>
                  </w:r>
                </w:p>
                <w:p w:rsidR="00D9472D" w:rsidRDefault="002E5D08">
                  <w:r>
                    <w:t>Muta. 2</w:t>
                  </w:r>
                </w:p>
              </w:tc>
            </w:tr>
            <w:tr w:rsidR="00D9472D">
              <w:tc>
                <w:tcPr>
                  <w:tcW w:w="3342" w:type="pct"/>
                </w:tcPr>
                <w:p w:rsidR="00D9472D" w:rsidRDefault="002E5D08">
                  <w:r>
                    <w:t xml:space="preserve">Reproduktivna toksičnost </w:t>
                  </w:r>
                </w:p>
              </w:tc>
              <w:tc>
                <w:tcPr>
                  <w:tcW w:w="1658" w:type="pct"/>
                </w:tcPr>
                <w:p w:rsidR="00D9472D" w:rsidRDefault="002E5D08">
                  <w:r>
                    <w:t>Repr. 1A</w:t>
                  </w:r>
                </w:p>
                <w:p w:rsidR="00D9472D" w:rsidRDefault="002E5D08">
                  <w:r>
                    <w:t>Repr. 1B</w:t>
                  </w:r>
                </w:p>
                <w:p w:rsidR="00D9472D" w:rsidRDefault="002E5D08">
                  <w:r>
                    <w:t>Repr. 2</w:t>
                  </w:r>
                </w:p>
              </w:tc>
            </w:tr>
            <w:tr w:rsidR="00D9472D">
              <w:tc>
                <w:tcPr>
                  <w:tcW w:w="3342" w:type="pct"/>
                  <w:vMerge w:val="restart"/>
                </w:tcPr>
                <w:p w:rsidR="00D9472D" w:rsidRDefault="002E5D08">
                  <w:r>
                    <w:t>Opasno za vodeni okoliš</w:t>
                  </w:r>
                </w:p>
              </w:tc>
              <w:tc>
                <w:tcPr>
                  <w:tcW w:w="1658" w:type="pct"/>
                </w:tcPr>
                <w:p w:rsidR="00D9472D" w:rsidRDefault="002E5D08">
                  <w:r>
                    <w:t>Ak. toks. vod okol. 1.</w:t>
                  </w:r>
                </w:p>
              </w:tc>
            </w:tr>
            <w:tr w:rsidR="00D9472D">
              <w:tc>
                <w:tcPr>
                  <w:tcW w:w="3342" w:type="pct"/>
                  <w:vMerge/>
                </w:tcPr>
                <w:p w:rsidR="00D9472D" w:rsidRDefault="00D9472D"/>
              </w:tc>
              <w:tc>
                <w:tcPr>
                  <w:tcW w:w="1658" w:type="pct"/>
                </w:tcPr>
                <w:p w:rsidR="00D9472D" w:rsidRDefault="002E5D08">
                  <w:r>
                    <w:t>Kron. toks. vod. okol. 1. ili 2.</w:t>
                  </w:r>
                </w:p>
                <w:p w:rsidR="00D9472D" w:rsidRDefault="002E5D08">
                  <w:r>
                    <w:t>Kron. toks. vod. okol. 3.</w:t>
                  </w:r>
                </w:p>
              </w:tc>
            </w:tr>
          </w:tbl>
          <w:p w:rsidR="00D9472D" w:rsidRDefault="00D9472D">
            <w:pPr>
              <w:rPr>
                <w:szCs w:val="22"/>
              </w:rPr>
            </w:pPr>
          </w:p>
          <w:p w:rsidR="00D9472D" w:rsidRDefault="00D9472D">
            <w:pPr>
              <w:rPr>
                <w:szCs w:val="22"/>
              </w:rPr>
            </w:pPr>
          </w:p>
          <w:p w:rsidR="00D9472D" w:rsidRDefault="002E5D08">
            <w:pPr>
              <w:rPr>
                <w:b/>
                <w:szCs w:val="22"/>
              </w:rPr>
            </w:pPr>
            <w:r>
              <w:rPr>
                <w:b/>
              </w:rPr>
              <w:t>Provjera:</w:t>
            </w:r>
          </w:p>
          <w:p w:rsidR="00D9472D" w:rsidRDefault="002E5D08">
            <w:pPr>
              <w:rPr>
                <w:szCs w:val="22"/>
              </w:rPr>
            </w:pPr>
            <w:r>
              <w:t xml:space="preserve">Ponuditelj dostavlja odgovarajuće dokumente kojima se potvrđuje da proizvodi koje treba dostaviti nisu razvrstani prema navedenim </w:t>
            </w:r>
            <w:r>
              <w:t>opasnostima.</w:t>
            </w:r>
          </w:p>
          <w:p w:rsidR="00D9472D" w:rsidRDefault="002E5D08">
            <w:pPr>
              <w:rPr>
                <w:szCs w:val="22"/>
              </w:rPr>
            </w:pPr>
            <w:r>
              <w:t>Dokumentacija o razvrstavanju smjese dostavlja se u skladu s pravilima utvrđenima u Uredbi (EZ) br. 1272/2008 (Uredba o CLP-u) i/ili sigurnosno-tehničkim listovima.</w:t>
            </w:r>
          </w:p>
          <w:p w:rsidR="00D9472D" w:rsidRDefault="00D9472D">
            <w:pPr>
              <w:rPr>
                <w:b/>
                <w:szCs w:val="22"/>
              </w:rPr>
            </w:pPr>
          </w:p>
        </w:tc>
      </w:tr>
      <w:tr w:rsidR="00D9472D">
        <w:tblPrEx>
          <w:tblLook w:val="04A0" w:firstRow="1" w:lastRow="0" w:firstColumn="1" w:lastColumn="0" w:noHBand="0" w:noVBand="1"/>
        </w:tblPrEx>
        <w:tc>
          <w:tcPr>
            <w:tcW w:w="2500" w:type="pct"/>
            <w:shd w:val="clear" w:color="auto" w:fill="auto"/>
          </w:tcPr>
          <w:p w:rsidR="00D9472D" w:rsidRDefault="002E5D08">
            <w:pPr>
              <w:tabs>
                <w:tab w:val="left" w:pos="1951"/>
                <w:tab w:val="left" w:pos="4502"/>
              </w:tabs>
              <w:spacing w:before="120"/>
              <w:rPr>
                <w:b/>
                <w:szCs w:val="22"/>
              </w:rPr>
            </w:pPr>
            <w:r>
              <w:rPr>
                <w:b/>
              </w:rPr>
              <w:t>1.3. Opasni sastojci</w:t>
            </w:r>
          </w:p>
          <w:p w:rsidR="00D9472D" w:rsidRDefault="00D9472D">
            <w:pPr>
              <w:tabs>
                <w:tab w:val="left" w:pos="1951"/>
                <w:tab w:val="left" w:pos="4502"/>
              </w:tabs>
              <w:rPr>
                <w:b/>
                <w:szCs w:val="22"/>
              </w:rPr>
            </w:pPr>
          </w:p>
          <w:p w:rsidR="00D9472D" w:rsidRDefault="002E5D08">
            <w:pPr>
              <w:rPr>
                <w:szCs w:val="22"/>
              </w:rPr>
            </w:pPr>
            <w:r>
              <w:t>Proizvod mora biti u skladu s ograničenjima navedenima</w:t>
            </w:r>
            <w:r>
              <w:t xml:space="preserve"> u tablici 15. prema kojoj se može zahtijevati da tvari budu u skladu s određenim svojstvima ili da se ograniči njihova koncentracija.</w:t>
            </w:r>
          </w:p>
          <w:p w:rsidR="00D9472D" w:rsidRDefault="002E5D08">
            <w:pPr>
              <w:rPr>
                <w:szCs w:val="22"/>
              </w:rPr>
            </w:pPr>
            <w:r>
              <w:tab/>
            </w:r>
          </w:p>
          <w:p w:rsidR="00D9472D" w:rsidRDefault="002E5D08">
            <w:pPr>
              <w:pStyle w:val="StyleCaption11ptItalic"/>
            </w:pPr>
            <w:r>
              <w:t>Tablica </w:t>
            </w:r>
            <w:r>
              <w:fldChar w:fldCharType="begin"/>
            </w:r>
            <w:r>
              <w:instrText xml:space="preserve"> SEQ Table \* ARABIC </w:instrText>
            </w:r>
            <w:r>
              <w:fldChar w:fldCharType="separate"/>
            </w:r>
            <w:r>
              <w:rPr>
                <w:noProof/>
              </w:rPr>
              <w:t>15</w:t>
            </w:r>
            <w:r>
              <w:rPr>
                <w:noProof/>
              </w:rPr>
              <w:fldChar w:fldCharType="end"/>
            </w:r>
            <w:r>
              <w:t>. Zahtjevi u pogledu opasnih sastojaka oznaka na kolniku</w:t>
            </w:r>
          </w:p>
          <w:tbl>
            <w:tblPr>
              <w:tblStyle w:val="TableGrid"/>
              <w:tblW w:w="0" w:type="auto"/>
              <w:tblLayout w:type="fixed"/>
              <w:tblLook w:val="04A0" w:firstRow="1" w:lastRow="0" w:firstColumn="1" w:lastColumn="0" w:noHBand="0" w:noVBand="1"/>
            </w:tblPr>
            <w:tblGrid>
              <w:gridCol w:w="5098"/>
              <w:gridCol w:w="1701"/>
            </w:tblGrid>
            <w:tr w:rsidR="00D9472D">
              <w:tc>
                <w:tcPr>
                  <w:tcW w:w="5098" w:type="dxa"/>
                  <w:vAlign w:val="center"/>
                </w:tcPr>
                <w:p w:rsidR="00D9472D" w:rsidRDefault="002E5D08">
                  <w:pPr>
                    <w:jc w:val="left"/>
                    <w:rPr>
                      <w:b/>
                      <w:szCs w:val="22"/>
                    </w:rPr>
                  </w:pPr>
                  <w:r>
                    <w:rPr>
                      <w:b/>
                    </w:rPr>
                    <w:t>Sastojak</w:t>
                  </w:r>
                </w:p>
              </w:tc>
              <w:tc>
                <w:tcPr>
                  <w:tcW w:w="1701" w:type="dxa"/>
                  <w:vAlign w:val="center"/>
                </w:tcPr>
                <w:p w:rsidR="00D9472D" w:rsidRDefault="002E5D08">
                  <w:pPr>
                    <w:jc w:val="left"/>
                    <w:rPr>
                      <w:b/>
                      <w:szCs w:val="22"/>
                    </w:rPr>
                  </w:pPr>
                  <w:r>
                    <w:rPr>
                      <w:b/>
                    </w:rPr>
                    <w:t>Ograničenje ili gor</w:t>
                  </w:r>
                  <w:r>
                    <w:rPr>
                      <w:b/>
                    </w:rPr>
                    <w:t>nja granica koncentracije</w:t>
                  </w:r>
                </w:p>
              </w:tc>
            </w:tr>
            <w:tr w:rsidR="00D9472D">
              <w:tc>
                <w:tcPr>
                  <w:tcW w:w="5098" w:type="dxa"/>
                </w:tcPr>
                <w:p w:rsidR="00D9472D" w:rsidRDefault="002E5D08">
                  <w:pPr>
                    <w:rPr>
                      <w:szCs w:val="22"/>
                    </w:rPr>
                  </w:pPr>
                  <w:r>
                    <w:t>Sredstva za zaštitu suhog filma:</w:t>
                  </w:r>
                </w:p>
              </w:tc>
              <w:tc>
                <w:tcPr>
                  <w:tcW w:w="1701" w:type="dxa"/>
                </w:tcPr>
                <w:p w:rsidR="00D9472D" w:rsidRDefault="002E5D08">
                  <w:pPr>
                    <w:rPr>
                      <w:szCs w:val="22"/>
                    </w:rPr>
                  </w:pPr>
                  <w:r>
                    <w:t>Konzervansi ne smiju biti bioakumulativni</w:t>
                  </w:r>
                  <w:r>
                    <w:rPr>
                      <w:vertAlign w:val="superscript"/>
                    </w:rPr>
                    <w:t xml:space="preserve">1 </w:t>
                  </w:r>
                </w:p>
              </w:tc>
            </w:tr>
            <w:tr w:rsidR="00D9472D">
              <w:tc>
                <w:tcPr>
                  <w:tcW w:w="5098" w:type="dxa"/>
                </w:tcPr>
                <w:p w:rsidR="00D9472D" w:rsidRDefault="002E5D08">
                  <w:pPr>
                    <w:rPr>
                      <w:szCs w:val="22"/>
                    </w:rPr>
                  </w:pPr>
                  <w:r>
                    <w:t>Ftalati:</w:t>
                  </w:r>
                </w:p>
                <w:p w:rsidR="00D9472D" w:rsidRDefault="002E5D08">
                  <w:pPr>
                    <w:rPr>
                      <w:szCs w:val="22"/>
                    </w:rPr>
                  </w:pPr>
                  <w:r>
                    <w:t>ftalati</w:t>
                  </w:r>
                  <w:r>
                    <w:rPr>
                      <w:rStyle w:val="FootnoteReference"/>
                    </w:rPr>
                    <w:footnoteReference w:id="4"/>
                  </w:r>
                  <w:r>
                    <w:t xml:space="preserve"> utvrđeni kao posebno zabrinjavajuće tvari i navedeni na popisu predloženih tvari za uvrštavanje u Uredbu REACH</w:t>
                  </w:r>
                  <w:r>
                    <w:rPr>
                      <w:rStyle w:val="FootnoteReference"/>
                    </w:rPr>
                    <w:footnoteReference w:id="5"/>
                  </w:r>
                  <w:r>
                    <w:t xml:space="preserve"> ne smiju biti prisutni u pripravcima boja ili lakova ili u njihovim formulacijama.</w:t>
                  </w:r>
                </w:p>
                <w:p w:rsidR="00D9472D" w:rsidRDefault="00D9472D"/>
              </w:tc>
              <w:tc>
                <w:tcPr>
                  <w:tcW w:w="1701" w:type="dxa"/>
                </w:tcPr>
                <w:p w:rsidR="00D9472D" w:rsidRDefault="002E5D08">
                  <w:pPr>
                    <w:rPr>
                      <w:szCs w:val="22"/>
                    </w:rPr>
                  </w:pPr>
                  <w:r>
                    <w:t>0,1 % masenog udjela</w:t>
                  </w:r>
                </w:p>
              </w:tc>
            </w:tr>
            <w:tr w:rsidR="00D9472D">
              <w:tc>
                <w:tcPr>
                  <w:tcW w:w="5098" w:type="dxa"/>
                </w:tcPr>
                <w:p w:rsidR="00D9472D" w:rsidRDefault="002E5D08">
                  <w:pPr>
                    <w:rPr>
                      <w:szCs w:val="22"/>
                    </w:rPr>
                  </w:pPr>
                  <w:r>
                    <w:t>Metali:</w:t>
                  </w:r>
                </w:p>
                <w:p w:rsidR="00D9472D" w:rsidRDefault="002E5D08">
                  <w:pPr>
                    <w:rPr>
                      <w:szCs w:val="22"/>
                    </w:rPr>
                  </w:pPr>
                  <w:r>
                    <w:t>kadmij, olovo, krom (VI), živa, arsen, selen</w:t>
                  </w:r>
                </w:p>
              </w:tc>
              <w:tc>
                <w:tcPr>
                  <w:tcW w:w="1701" w:type="dxa"/>
                </w:tcPr>
                <w:p w:rsidR="00D9472D" w:rsidRDefault="002E5D08">
                  <w:pPr>
                    <w:rPr>
                      <w:szCs w:val="22"/>
                    </w:rPr>
                  </w:pPr>
                  <w:r>
                    <w:t>0,01 % masenog udjela</w:t>
                  </w:r>
                </w:p>
                <w:p w:rsidR="00D9472D" w:rsidRDefault="002E5D08">
                  <w:pPr>
                    <w:rPr>
                      <w:szCs w:val="22"/>
                    </w:rPr>
                  </w:pPr>
                  <w:r>
                    <w:t>po metalu ili metalnom kompleksu/soli, prema potrebi</w:t>
                  </w:r>
                </w:p>
              </w:tc>
            </w:tr>
          </w:tbl>
          <w:p w:rsidR="00D9472D" w:rsidRDefault="002E5D08">
            <w:pPr>
              <w:rPr>
                <w:szCs w:val="22"/>
              </w:rPr>
            </w:pPr>
            <w:r>
              <w:rPr>
                <w:sz w:val="18"/>
                <w:vertAlign w:val="superscript"/>
              </w:rPr>
              <w:t>1</w:t>
            </w:r>
            <w:r>
              <w:rPr>
                <w:sz w:val="18"/>
              </w:rPr>
              <w:t xml:space="preserve"> Sastojak se smatra bioakumulativnim ako ima Log Kow ≤ 3,2 ili ako ima biokoncentracijski faktor (BCF) ≤ 100.</w:t>
            </w:r>
          </w:p>
          <w:p w:rsidR="00D9472D" w:rsidRDefault="00D9472D">
            <w:pPr>
              <w:rPr>
                <w:szCs w:val="22"/>
              </w:rPr>
            </w:pPr>
          </w:p>
          <w:p w:rsidR="00D9472D" w:rsidRDefault="002E5D08">
            <w:pPr>
              <w:rPr>
                <w:b/>
                <w:szCs w:val="22"/>
              </w:rPr>
            </w:pPr>
            <w:r>
              <w:rPr>
                <w:b/>
              </w:rPr>
              <w:t>Provjera:</w:t>
            </w:r>
          </w:p>
          <w:p w:rsidR="00D9472D" w:rsidRDefault="002E5D08">
            <w:pPr>
              <w:rPr>
                <w:szCs w:val="22"/>
              </w:rPr>
            </w:pPr>
            <w:r>
              <w:t>Ponuditelj dostavlja odgovarajuće dokumente kojima potvrđuje usklađenost s mjerilom, točnije:</w:t>
            </w:r>
          </w:p>
          <w:p w:rsidR="00D9472D" w:rsidRDefault="002E5D08">
            <w:pPr>
              <w:pStyle w:val="ListParagraph"/>
              <w:numPr>
                <w:ilvl w:val="0"/>
                <w:numId w:val="15"/>
              </w:numPr>
              <w:rPr>
                <w:szCs w:val="22"/>
              </w:rPr>
            </w:pPr>
            <w:r>
              <w:t xml:space="preserve">za konzervanse: sigurnosno-tehničke </w:t>
            </w:r>
            <w:r>
              <w:t>listove za mješavinu proizvoda</w:t>
            </w:r>
          </w:p>
          <w:p w:rsidR="00D9472D" w:rsidRDefault="002E5D08">
            <w:pPr>
              <w:pStyle w:val="ListParagraph"/>
              <w:numPr>
                <w:ilvl w:val="0"/>
                <w:numId w:val="15"/>
              </w:numPr>
              <w:rPr>
                <w:szCs w:val="22"/>
              </w:rPr>
            </w:pPr>
            <w:r>
              <w:t>dodatno za konzervanse: umjesto sigurnosno-tehničkog lista može se upotrijebiti izvješće o ispitivanju u kojem je upotrijebljena Smjernica OECD-a za ispitivanje 305 isključivo kako bi se potvrdilo da upotrijebljeni konzervans</w:t>
            </w:r>
            <w:r>
              <w:t>i nisu bioakumulativni</w:t>
            </w:r>
          </w:p>
          <w:p w:rsidR="00D9472D" w:rsidRDefault="002E5D08">
            <w:pPr>
              <w:pStyle w:val="ListParagraph"/>
              <w:numPr>
                <w:ilvl w:val="0"/>
                <w:numId w:val="15"/>
              </w:numPr>
              <w:rPr>
                <w:szCs w:val="22"/>
              </w:rPr>
            </w:pPr>
            <w:r>
              <w:t>za ftalate: sigurnosno-tehničke listove za mješavinu proizvoda i/ili izjavu iz članka 33. stavka 1.</w:t>
            </w:r>
            <w:r>
              <w:rPr>
                <w:rStyle w:val="FootnoteReference"/>
              </w:rPr>
              <w:footnoteReference w:id="6"/>
            </w:r>
            <w:r>
              <w:t xml:space="preserve"> Uredbe REACH koja je valjana za proizvode koji se dostavljaju </w:t>
            </w:r>
          </w:p>
          <w:p w:rsidR="00D9472D" w:rsidRDefault="002E5D08">
            <w:pPr>
              <w:pStyle w:val="ListParagraph"/>
              <w:numPr>
                <w:ilvl w:val="0"/>
                <w:numId w:val="15"/>
              </w:numPr>
              <w:rPr>
                <w:szCs w:val="22"/>
              </w:rPr>
            </w:pPr>
            <w:r>
              <w:t>za metale: izvješće o ispitivanju na temelju serije ISO 3856 ili jedn</w:t>
            </w:r>
            <w:r>
              <w:t>akovrijedne metode.</w:t>
            </w:r>
          </w:p>
        </w:tc>
        <w:tc>
          <w:tcPr>
            <w:tcW w:w="2500" w:type="pct"/>
            <w:shd w:val="clear" w:color="auto" w:fill="auto"/>
          </w:tcPr>
          <w:p w:rsidR="00D9472D" w:rsidRDefault="002E5D08">
            <w:pPr>
              <w:tabs>
                <w:tab w:val="left" w:pos="1951"/>
                <w:tab w:val="left" w:pos="4502"/>
              </w:tabs>
              <w:spacing w:before="120"/>
              <w:rPr>
                <w:b/>
                <w:szCs w:val="22"/>
              </w:rPr>
            </w:pPr>
            <w:r>
              <w:rPr>
                <w:b/>
              </w:rPr>
              <w:t>1.3. Opasni sastojci</w:t>
            </w:r>
          </w:p>
          <w:p w:rsidR="00D9472D" w:rsidRDefault="00D9472D">
            <w:pPr>
              <w:tabs>
                <w:tab w:val="left" w:pos="1951"/>
                <w:tab w:val="left" w:pos="4502"/>
              </w:tabs>
              <w:rPr>
                <w:b/>
                <w:szCs w:val="22"/>
              </w:rPr>
            </w:pPr>
          </w:p>
          <w:p w:rsidR="00D9472D" w:rsidRDefault="002E5D08">
            <w:pPr>
              <w:rPr>
                <w:szCs w:val="22"/>
              </w:rPr>
            </w:pPr>
            <w:r>
              <w:t>Proizvod mora biti u skladu s ograničenjima navedenima u tablici 16. prema kojoj se može zahtijevati da tvari budu u skladu s određenim svojstvima ili da se ograniči njihova koncentracija.</w:t>
            </w:r>
          </w:p>
          <w:p w:rsidR="00D9472D" w:rsidRDefault="00D9472D">
            <w:pPr>
              <w:rPr>
                <w:szCs w:val="22"/>
              </w:rPr>
            </w:pPr>
          </w:p>
          <w:p w:rsidR="00D9472D" w:rsidRDefault="002E5D08">
            <w:pPr>
              <w:pStyle w:val="StyleCaption11ptItalic"/>
            </w:pPr>
            <w:r>
              <w:t>Tablica </w:t>
            </w:r>
            <w:r>
              <w:fldChar w:fldCharType="begin"/>
            </w:r>
            <w:r>
              <w:instrText xml:space="preserve"> SEQ Table \* </w:instrText>
            </w:r>
            <w:r>
              <w:instrText xml:space="preserve">ARABIC </w:instrText>
            </w:r>
            <w:r>
              <w:fldChar w:fldCharType="separate"/>
            </w:r>
            <w:r>
              <w:rPr>
                <w:noProof/>
              </w:rPr>
              <w:t>16</w:t>
            </w:r>
            <w:r>
              <w:rPr>
                <w:noProof/>
              </w:rPr>
              <w:fldChar w:fldCharType="end"/>
            </w:r>
            <w:r>
              <w:t>. Zahtjevi u pogledu opasnih sastojaka oznaka na kolniku</w:t>
            </w:r>
          </w:p>
          <w:tbl>
            <w:tblPr>
              <w:tblStyle w:val="TableGrid"/>
              <w:tblW w:w="0" w:type="auto"/>
              <w:tblLayout w:type="fixed"/>
              <w:tblLook w:val="04A0" w:firstRow="1" w:lastRow="0" w:firstColumn="1" w:lastColumn="0" w:noHBand="0" w:noVBand="1"/>
            </w:tblPr>
            <w:tblGrid>
              <w:gridCol w:w="3999"/>
              <w:gridCol w:w="2659"/>
            </w:tblGrid>
            <w:tr w:rsidR="00D9472D">
              <w:tc>
                <w:tcPr>
                  <w:tcW w:w="3999" w:type="dxa"/>
                  <w:vAlign w:val="center"/>
                </w:tcPr>
                <w:p w:rsidR="00D9472D" w:rsidRDefault="002E5D08">
                  <w:pPr>
                    <w:jc w:val="left"/>
                    <w:rPr>
                      <w:b/>
                      <w:szCs w:val="22"/>
                    </w:rPr>
                  </w:pPr>
                  <w:r>
                    <w:rPr>
                      <w:b/>
                    </w:rPr>
                    <w:t>Sastojak</w:t>
                  </w:r>
                </w:p>
              </w:tc>
              <w:tc>
                <w:tcPr>
                  <w:tcW w:w="2659" w:type="dxa"/>
                  <w:vAlign w:val="center"/>
                </w:tcPr>
                <w:p w:rsidR="00D9472D" w:rsidRDefault="002E5D08">
                  <w:pPr>
                    <w:jc w:val="left"/>
                    <w:rPr>
                      <w:b/>
                      <w:szCs w:val="22"/>
                    </w:rPr>
                  </w:pPr>
                  <w:r>
                    <w:rPr>
                      <w:b/>
                    </w:rPr>
                    <w:t>Ograničenje ili gornja granica koncentracije</w:t>
                  </w:r>
                </w:p>
              </w:tc>
            </w:tr>
            <w:tr w:rsidR="00D9472D">
              <w:tc>
                <w:tcPr>
                  <w:tcW w:w="3999" w:type="dxa"/>
                </w:tcPr>
                <w:p w:rsidR="00D9472D" w:rsidRDefault="002E5D08">
                  <w:pPr>
                    <w:rPr>
                      <w:i/>
                      <w:szCs w:val="22"/>
                    </w:rPr>
                  </w:pPr>
                  <w:r>
                    <w:t>Sredstva za zaštitu suhog filma:</w:t>
                  </w:r>
                </w:p>
              </w:tc>
              <w:tc>
                <w:tcPr>
                  <w:tcW w:w="2659" w:type="dxa"/>
                </w:tcPr>
                <w:p w:rsidR="00D9472D" w:rsidRDefault="002E5D08">
                  <w:pPr>
                    <w:keepNext/>
                    <w:keepLines/>
                    <w:autoSpaceDE w:val="0"/>
                    <w:autoSpaceDN w:val="0"/>
                    <w:adjustRightInd w:val="0"/>
                    <w:outlineLvl w:val="0"/>
                    <w:rPr>
                      <w:szCs w:val="22"/>
                    </w:rPr>
                  </w:pPr>
                  <w:r>
                    <w:t>Konzervansi ne smiju biti bioakumulativni</w:t>
                  </w:r>
                  <w:r>
                    <w:rPr>
                      <w:vertAlign w:val="superscript"/>
                    </w:rPr>
                    <w:t xml:space="preserve">1 </w:t>
                  </w:r>
                </w:p>
              </w:tc>
            </w:tr>
            <w:tr w:rsidR="00D9472D">
              <w:tc>
                <w:tcPr>
                  <w:tcW w:w="3999" w:type="dxa"/>
                </w:tcPr>
                <w:p w:rsidR="00D9472D" w:rsidRDefault="002E5D08">
                  <w:pPr>
                    <w:rPr>
                      <w:szCs w:val="22"/>
                    </w:rPr>
                  </w:pPr>
                  <w:r>
                    <w:t>Ftalati:</w:t>
                  </w:r>
                </w:p>
                <w:p w:rsidR="00D9472D" w:rsidRDefault="002E5D08">
                  <w:pPr>
                    <w:rPr>
                      <w:szCs w:val="22"/>
                    </w:rPr>
                  </w:pPr>
                  <w:r>
                    <w:t>ftalati</w:t>
                  </w:r>
                  <w:r>
                    <w:rPr>
                      <w:vertAlign w:val="superscript"/>
                    </w:rPr>
                    <w:t>6</w:t>
                  </w:r>
                  <w:r>
                    <w:t xml:space="preserve"> utvrđeni kao posebno zabrinjavajuće tvari i navedeni na popisu predloženih tvari za uvrštavanje u Uredbu REACH</w:t>
                  </w:r>
                  <w:r>
                    <w:rPr>
                      <w:rStyle w:val="FootnoteReference"/>
                    </w:rPr>
                    <w:footnoteReference w:id="7"/>
                  </w:r>
                  <w:r>
                    <w:t xml:space="preserve"> ne smiju biti prisutni u pripravcima boja ili lakova ili u njihovim formulacijama.</w:t>
                  </w:r>
                </w:p>
                <w:p w:rsidR="00D9472D" w:rsidRDefault="00D9472D"/>
              </w:tc>
              <w:tc>
                <w:tcPr>
                  <w:tcW w:w="2659" w:type="dxa"/>
                </w:tcPr>
                <w:p w:rsidR="00D9472D" w:rsidRDefault="002E5D08">
                  <w:pPr>
                    <w:rPr>
                      <w:szCs w:val="22"/>
                    </w:rPr>
                  </w:pPr>
                  <w:r>
                    <w:t>0,1 % masenog udjela</w:t>
                  </w:r>
                </w:p>
              </w:tc>
            </w:tr>
            <w:tr w:rsidR="00D9472D">
              <w:tc>
                <w:tcPr>
                  <w:tcW w:w="3999" w:type="dxa"/>
                </w:tcPr>
                <w:p w:rsidR="00D9472D" w:rsidRDefault="002E5D08">
                  <w:pPr>
                    <w:rPr>
                      <w:szCs w:val="22"/>
                    </w:rPr>
                  </w:pPr>
                  <w:r>
                    <w:t>Metali:</w:t>
                  </w:r>
                </w:p>
                <w:p w:rsidR="00D9472D" w:rsidRDefault="002E5D08">
                  <w:pPr>
                    <w:rPr>
                      <w:szCs w:val="22"/>
                    </w:rPr>
                  </w:pPr>
                  <w:r>
                    <w:t>kadmij, olovo, krom (VI), živ</w:t>
                  </w:r>
                  <w:r>
                    <w:t>a, arsen, selen</w:t>
                  </w:r>
                </w:p>
              </w:tc>
              <w:tc>
                <w:tcPr>
                  <w:tcW w:w="2659" w:type="dxa"/>
                  <w:shd w:val="clear" w:color="auto" w:fill="auto"/>
                </w:tcPr>
                <w:p w:rsidR="00D9472D" w:rsidRDefault="002E5D08">
                  <w:pPr>
                    <w:rPr>
                      <w:szCs w:val="22"/>
                    </w:rPr>
                  </w:pPr>
                  <w:r>
                    <w:t xml:space="preserve">0,01 % masenog udjela  </w:t>
                  </w:r>
                </w:p>
                <w:p w:rsidR="00D9472D" w:rsidRDefault="002E5D08">
                  <w:pPr>
                    <w:rPr>
                      <w:szCs w:val="22"/>
                    </w:rPr>
                  </w:pPr>
                  <w:r>
                    <w:t>po metalu ili metalnom kompleksu/soli, prema potrebi</w:t>
                  </w:r>
                </w:p>
              </w:tc>
            </w:tr>
          </w:tbl>
          <w:p w:rsidR="00D9472D" w:rsidRDefault="002E5D08">
            <w:pPr>
              <w:rPr>
                <w:szCs w:val="22"/>
              </w:rPr>
            </w:pPr>
            <w:r>
              <w:rPr>
                <w:sz w:val="18"/>
                <w:vertAlign w:val="superscript"/>
              </w:rPr>
              <w:t>1</w:t>
            </w:r>
            <w:r>
              <w:rPr>
                <w:sz w:val="18"/>
              </w:rPr>
              <w:t xml:space="preserve"> Sastojak se smatra bioakumulativnim ako ima Log Kow ≤ 3,2 ili ako ima biokoncentracijski faktor (BCF) ≤ 100.</w:t>
            </w:r>
          </w:p>
          <w:p w:rsidR="00D9472D" w:rsidRDefault="00D9472D">
            <w:pPr>
              <w:rPr>
                <w:szCs w:val="22"/>
              </w:rPr>
            </w:pPr>
          </w:p>
          <w:p w:rsidR="00D9472D" w:rsidRDefault="002E5D08">
            <w:pPr>
              <w:rPr>
                <w:b/>
                <w:szCs w:val="22"/>
              </w:rPr>
            </w:pPr>
            <w:r>
              <w:rPr>
                <w:b/>
              </w:rPr>
              <w:t>Provjera:</w:t>
            </w:r>
          </w:p>
          <w:p w:rsidR="00D9472D" w:rsidRDefault="002E5D08">
            <w:pPr>
              <w:rPr>
                <w:szCs w:val="22"/>
              </w:rPr>
            </w:pPr>
            <w:r>
              <w:t xml:space="preserve">Ponuditelj dostavlja odgovarajuće </w:t>
            </w:r>
            <w:r>
              <w:t>dokumente kojima potvrđuje usklađenost s mjerilom, točnije:</w:t>
            </w:r>
          </w:p>
          <w:p w:rsidR="00D9472D" w:rsidRDefault="002E5D08">
            <w:pPr>
              <w:pStyle w:val="ListParagraph"/>
              <w:numPr>
                <w:ilvl w:val="0"/>
                <w:numId w:val="15"/>
              </w:numPr>
              <w:rPr>
                <w:szCs w:val="22"/>
              </w:rPr>
            </w:pPr>
            <w:r>
              <w:t>za konzervanse: sigurnosno-tehničke listove za mješavinu proizvoda</w:t>
            </w:r>
          </w:p>
          <w:p w:rsidR="00D9472D" w:rsidRDefault="002E5D08">
            <w:pPr>
              <w:pStyle w:val="ListParagraph"/>
              <w:numPr>
                <w:ilvl w:val="0"/>
                <w:numId w:val="15"/>
              </w:numPr>
              <w:rPr>
                <w:szCs w:val="22"/>
              </w:rPr>
            </w:pPr>
            <w:r>
              <w:t xml:space="preserve">dodatno za konzervanse: umjesto sigurnosno-tehničkog lista može se upotrijebiti izvješće o ispitivanju u kojem je upotrijebljena </w:t>
            </w:r>
            <w:r>
              <w:t>Smjernica OECD-a za ispitivanje 305 isključivo kako bi se potvrdilo da upotrijebljeni konzervansi nisu bioakumulativni</w:t>
            </w:r>
          </w:p>
          <w:p w:rsidR="00D9472D" w:rsidRDefault="002E5D08">
            <w:pPr>
              <w:pStyle w:val="ListParagraph"/>
              <w:numPr>
                <w:ilvl w:val="0"/>
                <w:numId w:val="15"/>
              </w:numPr>
              <w:rPr>
                <w:szCs w:val="22"/>
              </w:rPr>
            </w:pPr>
            <w:r>
              <w:t>za ftalate: sigurnosno-tehničke listove za mješavinu proizvoda i/ili izjavu iz članka 33. stavka 1. Uredbe REACH koja je valjana za proiz</w:t>
            </w:r>
            <w:r>
              <w:t xml:space="preserve">vode koji se dostavljaju </w:t>
            </w:r>
          </w:p>
          <w:p w:rsidR="00D9472D" w:rsidRDefault="002E5D08">
            <w:pPr>
              <w:pStyle w:val="ListParagraph"/>
              <w:numPr>
                <w:ilvl w:val="0"/>
                <w:numId w:val="15"/>
              </w:numPr>
              <w:rPr>
                <w:szCs w:val="22"/>
              </w:rPr>
            </w:pPr>
            <w:r>
              <w:t>za metale: izvješće o ispitivanju na osnovi serije ISO 3856 ili jednakovrijedne metode.</w:t>
            </w:r>
          </w:p>
          <w:p w:rsidR="00D9472D" w:rsidRDefault="00D9472D">
            <w:pPr>
              <w:rPr>
                <w:b/>
                <w:szCs w:val="22"/>
              </w:rPr>
            </w:pPr>
          </w:p>
        </w:tc>
      </w:tr>
      <w:tr w:rsidR="00D9472D">
        <w:tblPrEx>
          <w:tblLook w:val="04A0" w:firstRow="1" w:lastRow="0" w:firstColumn="1" w:lastColumn="0" w:noHBand="0" w:noVBand="1"/>
        </w:tblPrEx>
        <w:tc>
          <w:tcPr>
            <w:tcW w:w="2500" w:type="pct"/>
            <w:shd w:val="clear" w:color="auto" w:fill="auto"/>
          </w:tcPr>
          <w:p w:rsidR="00D9472D" w:rsidRDefault="002E5D08">
            <w:pPr>
              <w:tabs>
                <w:tab w:val="left" w:pos="1951"/>
                <w:tab w:val="left" w:pos="4502"/>
              </w:tabs>
              <w:spacing w:before="120"/>
              <w:rPr>
                <w:b/>
                <w:szCs w:val="22"/>
              </w:rPr>
            </w:pPr>
            <w:r>
              <w:rPr>
                <w:b/>
              </w:rPr>
              <w:t>2. Udio opasnih sastojaka u staklenim kuglicama</w:t>
            </w:r>
          </w:p>
          <w:p w:rsidR="00D9472D" w:rsidRDefault="00D9472D">
            <w:pPr>
              <w:tabs>
                <w:tab w:val="left" w:pos="1951"/>
                <w:tab w:val="left" w:pos="4502"/>
              </w:tabs>
              <w:rPr>
                <w:b/>
                <w:szCs w:val="22"/>
              </w:rPr>
            </w:pPr>
          </w:p>
          <w:p w:rsidR="00D9472D" w:rsidRDefault="002E5D08">
            <w:pPr>
              <w:tabs>
                <w:tab w:val="left" w:pos="1951"/>
                <w:tab w:val="left" w:pos="4502"/>
              </w:tabs>
              <w:rPr>
                <w:szCs w:val="22"/>
              </w:rPr>
            </w:pPr>
            <w:r>
              <w:t>Staklene kuglice koje se upotrebljavaju ne smiju sadržavati arsen, antimon i olovo u pojedi</w:t>
            </w:r>
            <w:r>
              <w:t>načnim koncentracijama većima od 200 ppm.</w:t>
            </w:r>
          </w:p>
          <w:p w:rsidR="00D9472D" w:rsidRDefault="00D9472D">
            <w:pPr>
              <w:tabs>
                <w:tab w:val="left" w:pos="1951"/>
                <w:tab w:val="left" w:pos="4502"/>
              </w:tabs>
              <w:rPr>
                <w:b/>
                <w:szCs w:val="22"/>
              </w:rPr>
            </w:pPr>
          </w:p>
          <w:p w:rsidR="00D9472D" w:rsidRDefault="002E5D08">
            <w:pPr>
              <w:tabs>
                <w:tab w:val="left" w:pos="1951"/>
                <w:tab w:val="left" w:pos="4502"/>
              </w:tabs>
              <w:rPr>
                <w:b/>
                <w:szCs w:val="22"/>
              </w:rPr>
            </w:pPr>
            <w:r>
              <w:rPr>
                <w:b/>
              </w:rPr>
              <w:t>Provjera:</w:t>
            </w:r>
          </w:p>
          <w:p w:rsidR="00D9472D" w:rsidRDefault="002E5D08">
            <w:pPr>
              <w:tabs>
                <w:tab w:val="left" w:pos="1951"/>
                <w:tab w:val="left" w:pos="4502"/>
              </w:tabs>
              <w:rPr>
                <w:b/>
                <w:szCs w:val="22"/>
              </w:rPr>
            </w:pPr>
            <w:r>
              <w:t>Ponuditelj dostavlja izvješće o ispitivanju koje potvrđuje da su koncentracije navedenih tvari prisutnih u staklenim kuglicama u skladu s normom EN 1423 ili jednakovrijednom normom.</w:t>
            </w:r>
          </w:p>
        </w:tc>
        <w:tc>
          <w:tcPr>
            <w:tcW w:w="2500" w:type="pct"/>
            <w:shd w:val="clear" w:color="auto" w:fill="auto"/>
          </w:tcPr>
          <w:p w:rsidR="00D9472D" w:rsidRDefault="002E5D08">
            <w:pPr>
              <w:tabs>
                <w:tab w:val="left" w:pos="1951"/>
                <w:tab w:val="left" w:pos="4502"/>
              </w:tabs>
              <w:spacing w:before="120"/>
              <w:rPr>
                <w:b/>
                <w:szCs w:val="22"/>
              </w:rPr>
            </w:pPr>
            <w:r>
              <w:rPr>
                <w:b/>
              </w:rPr>
              <w:t xml:space="preserve">2. Udio opasnih </w:t>
            </w:r>
            <w:r>
              <w:rPr>
                <w:b/>
              </w:rPr>
              <w:t>sastojaka u staklenim kuglicama</w:t>
            </w:r>
          </w:p>
          <w:p w:rsidR="00D9472D" w:rsidRDefault="00D9472D">
            <w:pPr>
              <w:tabs>
                <w:tab w:val="left" w:pos="1951"/>
                <w:tab w:val="left" w:pos="4502"/>
              </w:tabs>
              <w:rPr>
                <w:b/>
                <w:szCs w:val="22"/>
              </w:rPr>
            </w:pPr>
          </w:p>
          <w:p w:rsidR="00D9472D" w:rsidRDefault="002E5D08">
            <w:pPr>
              <w:tabs>
                <w:tab w:val="left" w:pos="1951"/>
                <w:tab w:val="left" w:pos="4502"/>
              </w:tabs>
              <w:rPr>
                <w:szCs w:val="22"/>
              </w:rPr>
            </w:pPr>
            <w:r>
              <w:t>Staklene kuglice koje se upotrebljavaju ne smiju sadržavati arsen, antimon i olovo u pojedinačnim koncentracijama većima od 150 ppm.</w:t>
            </w:r>
          </w:p>
          <w:p w:rsidR="00D9472D" w:rsidRDefault="00D9472D">
            <w:pPr>
              <w:tabs>
                <w:tab w:val="left" w:pos="1951"/>
                <w:tab w:val="left" w:pos="4502"/>
              </w:tabs>
              <w:rPr>
                <w:b/>
                <w:szCs w:val="22"/>
              </w:rPr>
            </w:pPr>
          </w:p>
          <w:p w:rsidR="00D9472D" w:rsidRDefault="002E5D08">
            <w:pPr>
              <w:tabs>
                <w:tab w:val="left" w:pos="1951"/>
                <w:tab w:val="left" w:pos="4502"/>
              </w:tabs>
              <w:rPr>
                <w:b/>
                <w:szCs w:val="22"/>
              </w:rPr>
            </w:pPr>
            <w:r>
              <w:rPr>
                <w:b/>
              </w:rPr>
              <w:t>Provjera:</w:t>
            </w:r>
          </w:p>
          <w:p w:rsidR="00D9472D" w:rsidRDefault="002E5D08">
            <w:pPr>
              <w:tabs>
                <w:tab w:val="left" w:pos="1951"/>
                <w:tab w:val="left" w:pos="4502"/>
              </w:tabs>
              <w:rPr>
                <w:b/>
                <w:szCs w:val="22"/>
              </w:rPr>
            </w:pPr>
            <w:r>
              <w:t xml:space="preserve">Ponuditelj dostavlja izvješće o ispitivanju koje potvrđuje da su koncentracije </w:t>
            </w:r>
            <w:r>
              <w:t>navedenih tvari prisutnih u staklenim kuglicama u skladu s normom EN 1423 ili jednakovrijednom normom.</w:t>
            </w:r>
          </w:p>
        </w:tc>
      </w:tr>
      <w:tr w:rsidR="00D9472D">
        <w:tblPrEx>
          <w:tblLook w:val="04A0" w:firstRow="1" w:lastRow="0" w:firstColumn="1" w:lastColumn="0" w:noHBand="0" w:noVBand="1"/>
        </w:tblPrEx>
        <w:trPr>
          <w:trHeight w:val="3825"/>
        </w:trPr>
        <w:tc>
          <w:tcPr>
            <w:tcW w:w="5000" w:type="pct"/>
            <w:gridSpan w:val="2"/>
            <w:shd w:val="clear" w:color="auto" w:fill="auto"/>
          </w:tcPr>
          <w:p w:rsidR="00D9472D" w:rsidRDefault="002E5D08">
            <w:pPr>
              <w:tabs>
                <w:tab w:val="left" w:pos="1951"/>
                <w:tab w:val="left" w:pos="4502"/>
              </w:tabs>
              <w:spacing w:before="120"/>
              <w:rPr>
                <w:b/>
                <w:szCs w:val="22"/>
              </w:rPr>
            </w:pPr>
            <w:r>
              <w:rPr>
                <w:b/>
              </w:rPr>
              <w:t>3. Kvaliteta i trajnost sustava za označivanje kolnika</w:t>
            </w:r>
          </w:p>
          <w:p w:rsidR="00D9472D" w:rsidRDefault="002E5D08">
            <w:pPr>
              <w:rPr>
                <w:bCs/>
                <w:i/>
                <w:szCs w:val="22"/>
              </w:rPr>
            </w:pPr>
            <w:r>
              <w:rPr>
                <w:i/>
              </w:rPr>
              <w:t>(Isto za osnovna i sveobuhvatna mjerila)</w:t>
            </w:r>
          </w:p>
          <w:p w:rsidR="00D9472D" w:rsidRDefault="00D9472D">
            <w:pPr>
              <w:rPr>
                <w:bCs/>
                <w:i/>
                <w:szCs w:val="22"/>
              </w:rPr>
            </w:pPr>
          </w:p>
          <w:p w:rsidR="00D9472D" w:rsidRDefault="002E5D08">
            <w:pPr>
              <w:tabs>
                <w:tab w:val="left" w:pos="1951"/>
                <w:tab w:val="left" w:pos="4502"/>
              </w:tabs>
              <w:rPr>
                <w:szCs w:val="22"/>
              </w:rPr>
            </w:pPr>
            <w:r>
              <w:t>Ponuditelj dokazuje da oznake na kolniku zadržavaju min</w:t>
            </w:r>
            <w:r>
              <w:t>imalne zahtjeve učinkovitosti, osobito za noćnu vidljivost, dnevnu vidljivost, otpornost na klizanje i eroziju nakon definiranog broja prolazaka kotača</w:t>
            </w:r>
            <w:r>
              <w:rPr>
                <w:vertAlign w:val="superscript"/>
              </w:rPr>
              <w:t>1</w:t>
            </w:r>
            <w:r>
              <w:t>, kako odredi naručitelj u pozivu za podnošenje ponuda.</w:t>
            </w:r>
          </w:p>
          <w:p w:rsidR="00D9472D" w:rsidRDefault="00D9472D">
            <w:pPr>
              <w:tabs>
                <w:tab w:val="left" w:pos="1951"/>
                <w:tab w:val="left" w:pos="4502"/>
              </w:tabs>
              <w:rPr>
                <w:szCs w:val="22"/>
              </w:rPr>
            </w:pPr>
          </w:p>
          <w:p w:rsidR="00D9472D" w:rsidRDefault="002E5D08">
            <w:pPr>
              <w:tabs>
                <w:tab w:val="left" w:pos="1951"/>
                <w:tab w:val="left" w:pos="4502"/>
              </w:tabs>
              <w:rPr>
                <w:i/>
                <w:sz w:val="18"/>
                <w:szCs w:val="18"/>
              </w:rPr>
            </w:pPr>
            <w:r>
              <w:rPr>
                <w:i/>
                <w:sz w:val="18"/>
                <w:vertAlign w:val="superscript"/>
              </w:rPr>
              <w:t xml:space="preserve">1 </w:t>
            </w:r>
            <w:r>
              <w:rPr>
                <w:i/>
                <w:sz w:val="18"/>
              </w:rPr>
              <w:t>Okvirno, razumnom učinkovitošću moglo bi se s</w:t>
            </w:r>
            <w:r>
              <w:rPr>
                <w:i/>
                <w:sz w:val="18"/>
              </w:rPr>
              <w:t>matrati 500 000 prolazaka kotača, u skladu s normama EN 1824 i EN 13197. Ako je poželjna bolja učinkovitost, trebalo bi utvrditi veći broj prolazaka kotača.</w:t>
            </w:r>
          </w:p>
          <w:p w:rsidR="00D9472D" w:rsidRDefault="00D9472D">
            <w:pPr>
              <w:tabs>
                <w:tab w:val="left" w:pos="1951"/>
                <w:tab w:val="left" w:pos="4502"/>
              </w:tabs>
              <w:rPr>
                <w:b/>
                <w:szCs w:val="22"/>
              </w:rPr>
            </w:pPr>
          </w:p>
          <w:p w:rsidR="00D9472D" w:rsidRDefault="002E5D08">
            <w:pPr>
              <w:tabs>
                <w:tab w:val="left" w:pos="1951"/>
                <w:tab w:val="left" w:pos="4502"/>
              </w:tabs>
              <w:rPr>
                <w:b/>
                <w:szCs w:val="22"/>
              </w:rPr>
            </w:pPr>
            <w:r>
              <w:rPr>
                <w:b/>
              </w:rPr>
              <w:t>Provjera:</w:t>
            </w:r>
          </w:p>
          <w:p w:rsidR="00D9472D" w:rsidRDefault="002E5D08">
            <w:pPr>
              <w:tabs>
                <w:tab w:val="left" w:pos="1951"/>
                <w:tab w:val="left" w:pos="4502"/>
              </w:tabs>
              <w:rPr>
                <w:b/>
                <w:szCs w:val="22"/>
              </w:rPr>
            </w:pPr>
            <w:r>
              <w:t>Ponuditelj dostavlja izvješće o ispitivanju ili odobrenje nacionalne ustanove koja provo</w:t>
            </w:r>
            <w:r>
              <w:t>di ispitivanje koje pokazuje usklađenost sustava za označivanje kolnika s uvjetima primjerenima ugovoru i s normama EN 1824, EN 13197 ili jednakovrijednim normama. Kako bi se osigurala usporedivost, javni naručitelj u pozivu za podnošenje ponuda utvrđuje m</w:t>
            </w:r>
            <w:r>
              <w:t>etodu ispitivanja koju moraju upotrijebiti svi ponuditelji.</w:t>
            </w:r>
          </w:p>
        </w:tc>
      </w:tr>
      <w:tr w:rsidR="00D9472D">
        <w:tblPrEx>
          <w:tblLook w:val="04A0" w:firstRow="1" w:lastRow="0" w:firstColumn="1" w:lastColumn="0" w:noHBand="0" w:noVBand="1"/>
        </w:tblPrEx>
        <w:tc>
          <w:tcPr>
            <w:tcW w:w="5000" w:type="pct"/>
            <w:gridSpan w:val="2"/>
            <w:shd w:val="clear" w:color="auto" w:fill="92D050"/>
          </w:tcPr>
          <w:p w:rsidR="00D9472D" w:rsidRDefault="002E5D08">
            <w:pPr>
              <w:spacing w:before="40" w:after="40"/>
              <w:jc w:val="center"/>
              <w:rPr>
                <w:b/>
                <w:szCs w:val="22"/>
              </w:rPr>
            </w:pPr>
            <w:r>
              <w:rPr>
                <w:b/>
              </w:rPr>
              <w:t>MJERILA ZA DODJELU</w:t>
            </w:r>
          </w:p>
        </w:tc>
      </w:tr>
      <w:tr w:rsidR="00D9472D">
        <w:tblPrEx>
          <w:tblLook w:val="04A0" w:firstRow="1" w:lastRow="0" w:firstColumn="1" w:lastColumn="0" w:noHBand="0" w:noVBand="1"/>
        </w:tblPrEx>
        <w:trPr>
          <w:trHeight w:val="419"/>
        </w:trPr>
        <w:tc>
          <w:tcPr>
            <w:tcW w:w="2500" w:type="pct"/>
            <w:shd w:val="clear" w:color="auto" w:fill="auto"/>
          </w:tcPr>
          <w:p w:rsidR="00D9472D" w:rsidRDefault="002E5D08">
            <w:pPr>
              <w:rPr>
                <w:b/>
                <w:bCs/>
              </w:rPr>
            </w:pPr>
            <w:r>
              <w:rPr>
                <w:b/>
              </w:rPr>
              <w:t>1. Formulacija oznaka na kolniku – udio bijelog pigmenta (titanijev dioksid)</w:t>
            </w:r>
          </w:p>
          <w:p w:rsidR="00D9472D" w:rsidRDefault="002E5D08">
            <w:pPr>
              <w:rPr>
                <w:bCs/>
                <w:i/>
              </w:rPr>
            </w:pPr>
            <w:r>
              <w:rPr>
                <w:i/>
              </w:rPr>
              <w:t xml:space="preserve">(Za pozive za podnošenje ponuda u kojima su utvrđeni posebni zahtjevi u pogledu kvalitete i </w:t>
            </w:r>
            <w:r>
              <w:rPr>
                <w:i/>
              </w:rPr>
              <w:t>trajnosti)</w:t>
            </w:r>
          </w:p>
          <w:p w:rsidR="00D9472D" w:rsidRDefault="00D9472D">
            <w:pPr>
              <w:rPr>
                <w:bCs/>
              </w:rPr>
            </w:pPr>
          </w:p>
          <w:p w:rsidR="00D9472D" w:rsidRDefault="002E5D08">
            <w:r>
              <w:t>Bodovi se dodjeljuju ponuditelju koji pruža proizvod s udjelom bijelog pigmenta koji je manji od sljedećih graničnih vrijednosti:</w:t>
            </w:r>
          </w:p>
          <w:p w:rsidR="00D9472D" w:rsidRDefault="002E5D08">
            <w:pPr>
              <w:pStyle w:val="ListParagraph"/>
              <w:numPr>
                <w:ilvl w:val="0"/>
                <w:numId w:val="21"/>
              </w:numPr>
            </w:pPr>
            <w:r>
              <w:t>za sustave koji se primjenjuju u omjeru &lt; 1 kg/m</w:t>
            </w:r>
            <w:r>
              <w:rPr>
                <w:vertAlign w:val="superscript"/>
              </w:rPr>
              <w:t>2</w:t>
            </w:r>
            <w:r>
              <w:t>: &lt; 14 % TiO</w:t>
            </w:r>
            <w:r>
              <w:rPr>
                <w:vertAlign w:val="subscript"/>
              </w:rPr>
              <w:t>2</w:t>
            </w:r>
          </w:p>
          <w:p w:rsidR="00D9472D" w:rsidRDefault="002E5D08">
            <w:pPr>
              <w:pStyle w:val="ListParagraph"/>
              <w:numPr>
                <w:ilvl w:val="0"/>
                <w:numId w:val="21"/>
              </w:numPr>
            </w:pPr>
            <w:r>
              <w:t>za sustave koji se primjenjuju u omjeru &gt; 1 kg/m</w:t>
            </w:r>
            <w:r>
              <w:rPr>
                <w:vertAlign w:val="superscript"/>
              </w:rPr>
              <w:t>2</w:t>
            </w:r>
            <w:r>
              <w:t xml:space="preserve">: </w:t>
            </w:r>
            <w:r>
              <w:t>&lt; 10 % TiO</w:t>
            </w:r>
            <w:r>
              <w:rPr>
                <w:vertAlign w:val="subscript"/>
              </w:rPr>
              <w:t>2</w:t>
            </w:r>
            <w:r>
              <w:t>.</w:t>
            </w:r>
          </w:p>
          <w:p w:rsidR="00D9472D" w:rsidRDefault="00D9472D"/>
          <w:p w:rsidR="00D9472D" w:rsidRDefault="002E5D08">
            <w:pPr>
              <w:rPr>
                <w:b/>
                <w:bCs/>
              </w:rPr>
            </w:pPr>
            <w:r>
              <w:rPr>
                <w:b/>
              </w:rPr>
              <w:t>Provjera:</w:t>
            </w:r>
          </w:p>
          <w:p w:rsidR="00D9472D" w:rsidRDefault="002E5D08">
            <w:pPr>
              <w:tabs>
                <w:tab w:val="left" w:pos="1951"/>
                <w:tab w:val="left" w:pos="4502"/>
              </w:tabs>
            </w:pPr>
            <w:r>
              <w:t>Ponuditelj dostavlja dokumentaciju za formulaciju proizvoda potkrijepljenu rezultatima ispitivanja ili izjavom o sukladnosti odgovarajućeg tijela za homologaciju</w:t>
            </w:r>
            <w:r>
              <w:rPr>
                <w:vertAlign w:val="superscript"/>
              </w:rPr>
              <w:t>2</w:t>
            </w:r>
            <w:r>
              <w:t xml:space="preserve"> iz koje je vidljiv udio bijelog pigmenta.</w:t>
            </w:r>
          </w:p>
          <w:p w:rsidR="00D9472D" w:rsidRDefault="00D9472D">
            <w:pPr>
              <w:tabs>
                <w:tab w:val="left" w:pos="1951"/>
                <w:tab w:val="left" w:pos="4502"/>
              </w:tabs>
            </w:pPr>
          </w:p>
          <w:p w:rsidR="00D9472D" w:rsidRDefault="002E5D08">
            <w:pPr>
              <w:tabs>
                <w:tab w:val="left" w:pos="1951"/>
                <w:tab w:val="left" w:pos="4502"/>
              </w:tabs>
              <w:rPr>
                <w:i/>
                <w:noProof/>
                <w:sz w:val="18"/>
                <w:szCs w:val="18"/>
              </w:rPr>
            </w:pPr>
            <w:r>
              <w:rPr>
                <w:i/>
                <w:sz w:val="18"/>
                <w:vertAlign w:val="superscript"/>
              </w:rPr>
              <w:t>2</w:t>
            </w:r>
            <w:r>
              <w:rPr>
                <w:i/>
                <w:sz w:val="18"/>
              </w:rPr>
              <w:t xml:space="preserve"> Tijelo za homologaciju službeno je tijelo koje provodi certifikaciju i prethodno odobrenje proizvoda u skladu s posebnim kriterijima učinkovitosti za upotrebu na nacionalnoj, regionalnoj i/ili lokalnoj razini.</w:t>
            </w:r>
          </w:p>
          <w:p w:rsidR="00D9472D" w:rsidRDefault="00D9472D">
            <w:pPr>
              <w:rPr>
                <w:noProof/>
                <w:szCs w:val="22"/>
              </w:rPr>
            </w:pPr>
          </w:p>
        </w:tc>
        <w:tc>
          <w:tcPr>
            <w:tcW w:w="2500" w:type="pct"/>
            <w:shd w:val="clear" w:color="auto" w:fill="auto"/>
          </w:tcPr>
          <w:p w:rsidR="00D9472D" w:rsidRDefault="002E5D08">
            <w:pPr>
              <w:rPr>
                <w:b/>
                <w:bCs/>
              </w:rPr>
            </w:pPr>
            <w:r>
              <w:rPr>
                <w:b/>
              </w:rPr>
              <w:t>1. Formulacija oznaka na kolniku – udio bije</w:t>
            </w:r>
            <w:r>
              <w:rPr>
                <w:b/>
              </w:rPr>
              <w:t>log pigmenta (titanijev dioksid)</w:t>
            </w:r>
          </w:p>
          <w:p w:rsidR="00D9472D" w:rsidRDefault="002E5D08">
            <w:pPr>
              <w:rPr>
                <w:bCs/>
                <w:i/>
              </w:rPr>
            </w:pPr>
            <w:r>
              <w:rPr>
                <w:i/>
              </w:rPr>
              <w:t>(Za pozive za podnošenje ponuda u kojima su utvrđeni posebni zahtjevi u pogledu kvalitete i trajnosti)</w:t>
            </w:r>
          </w:p>
          <w:p w:rsidR="00D9472D" w:rsidRDefault="00D9472D">
            <w:pPr>
              <w:rPr>
                <w:bCs/>
              </w:rPr>
            </w:pPr>
          </w:p>
          <w:p w:rsidR="00D9472D" w:rsidRDefault="002E5D08">
            <w:r>
              <w:t>Bodovi se dodjeljuju ponuditelju koji pruža proizvod s udjelom bijelog pigmenta koji je manji od sljedećih graničnih vr</w:t>
            </w:r>
            <w:r>
              <w:t>ijednosti:</w:t>
            </w:r>
          </w:p>
          <w:p w:rsidR="00D9472D" w:rsidRDefault="002E5D08">
            <w:pPr>
              <w:pStyle w:val="ListParagraph"/>
              <w:numPr>
                <w:ilvl w:val="0"/>
                <w:numId w:val="21"/>
              </w:numPr>
            </w:pPr>
            <w:r>
              <w:t>za sustave koji se primjenjuju u omjeru &lt; 1 kg/m</w:t>
            </w:r>
            <w:r>
              <w:rPr>
                <w:vertAlign w:val="superscript"/>
              </w:rPr>
              <w:t>2</w:t>
            </w:r>
            <w:r>
              <w:t>: &lt; 10 % TiO</w:t>
            </w:r>
            <w:r>
              <w:rPr>
                <w:vertAlign w:val="subscript"/>
              </w:rPr>
              <w:t>2</w:t>
            </w:r>
          </w:p>
          <w:p w:rsidR="00D9472D" w:rsidRDefault="002E5D08">
            <w:pPr>
              <w:pStyle w:val="ListParagraph"/>
              <w:numPr>
                <w:ilvl w:val="0"/>
                <w:numId w:val="21"/>
              </w:numPr>
            </w:pPr>
            <w:r>
              <w:t>za sustave koji se primjenjuju u omjeru &gt; 1 kg/m</w:t>
            </w:r>
            <w:r>
              <w:rPr>
                <w:vertAlign w:val="superscript"/>
              </w:rPr>
              <w:t>2</w:t>
            </w:r>
            <w:r>
              <w:t>: &lt; 8 % TiO</w:t>
            </w:r>
            <w:r>
              <w:rPr>
                <w:vertAlign w:val="subscript"/>
              </w:rPr>
              <w:t>2</w:t>
            </w:r>
            <w:r>
              <w:t>.</w:t>
            </w:r>
          </w:p>
          <w:p w:rsidR="00D9472D" w:rsidRDefault="00D9472D"/>
          <w:p w:rsidR="00D9472D" w:rsidRDefault="002E5D08">
            <w:pPr>
              <w:rPr>
                <w:b/>
                <w:bCs/>
              </w:rPr>
            </w:pPr>
            <w:r>
              <w:rPr>
                <w:b/>
              </w:rPr>
              <w:t>Provjera:</w:t>
            </w:r>
          </w:p>
          <w:p w:rsidR="00D9472D" w:rsidRDefault="002E5D08">
            <w:pPr>
              <w:tabs>
                <w:tab w:val="left" w:pos="1951"/>
                <w:tab w:val="left" w:pos="4502"/>
              </w:tabs>
            </w:pPr>
            <w:r>
              <w:t>Ponuditelj dostavlja dokumentaciju za formulaciju proizvoda potkrijepljenu rezultatima ispitivanja ili izjav</w:t>
            </w:r>
            <w:r>
              <w:t>om o sukladnosti odgovarajućeg tijela za homologaciju</w:t>
            </w:r>
            <w:r>
              <w:rPr>
                <w:vertAlign w:val="superscript"/>
              </w:rPr>
              <w:t>2</w:t>
            </w:r>
            <w:r>
              <w:t xml:space="preserve"> iz koje je vidljiv udio bijelog pigmenta.</w:t>
            </w:r>
          </w:p>
          <w:p w:rsidR="00D9472D" w:rsidRDefault="00D9472D">
            <w:pPr>
              <w:tabs>
                <w:tab w:val="left" w:pos="1951"/>
                <w:tab w:val="left" w:pos="4502"/>
              </w:tabs>
            </w:pPr>
          </w:p>
          <w:p w:rsidR="00D9472D" w:rsidRDefault="002E5D08">
            <w:pPr>
              <w:tabs>
                <w:tab w:val="left" w:pos="1951"/>
                <w:tab w:val="left" w:pos="4502"/>
              </w:tabs>
              <w:rPr>
                <w:i/>
                <w:noProof/>
                <w:sz w:val="18"/>
                <w:szCs w:val="18"/>
              </w:rPr>
            </w:pPr>
            <w:r>
              <w:rPr>
                <w:i/>
                <w:sz w:val="18"/>
                <w:vertAlign w:val="superscript"/>
              </w:rPr>
              <w:t>2</w:t>
            </w:r>
            <w:r>
              <w:rPr>
                <w:i/>
                <w:sz w:val="18"/>
              </w:rPr>
              <w:t xml:space="preserve"> Tijelo za homologaciju službeno je tijelo koje provodi certifikaciju i prethodno odobrenje proizvoda u skladu s posebnim kriterijima učinkovitosti za upotre</w:t>
            </w:r>
            <w:r>
              <w:rPr>
                <w:i/>
                <w:sz w:val="18"/>
              </w:rPr>
              <w:t>bu na nacionalnoj, regionalnoj i/ili lokalnoj razini.</w:t>
            </w:r>
          </w:p>
          <w:p w:rsidR="00D9472D" w:rsidRDefault="00D9472D">
            <w:pPr>
              <w:rPr>
                <w:noProof/>
                <w:szCs w:val="22"/>
              </w:rPr>
            </w:pPr>
          </w:p>
        </w:tc>
      </w:tr>
      <w:tr w:rsidR="00D9472D">
        <w:tblPrEx>
          <w:tblLook w:val="04A0" w:firstRow="1" w:lastRow="0" w:firstColumn="1" w:lastColumn="0" w:noHBand="0" w:noVBand="1"/>
        </w:tblPrEx>
        <w:tc>
          <w:tcPr>
            <w:tcW w:w="2500" w:type="pct"/>
            <w:shd w:val="clear" w:color="auto" w:fill="auto"/>
          </w:tcPr>
          <w:p w:rsidR="00D9472D" w:rsidRDefault="00D9472D">
            <w:pPr>
              <w:tabs>
                <w:tab w:val="left" w:pos="1951"/>
                <w:tab w:val="left" w:pos="4502"/>
              </w:tabs>
              <w:rPr>
                <w:b/>
                <w:szCs w:val="22"/>
              </w:rPr>
            </w:pPr>
          </w:p>
        </w:tc>
        <w:tc>
          <w:tcPr>
            <w:tcW w:w="2500" w:type="pct"/>
            <w:shd w:val="clear" w:color="auto" w:fill="auto"/>
          </w:tcPr>
          <w:p w:rsidR="00D9472D" w:rsidRDefault="002E5D08">
            <w:pPr>
              <w:rPr>
                <w:b/>
                <w:bCs/>
              </w:rPr>
            </w:pPr>
            <w:r>
              <w:rPr>
                <w:b/>
              </w:rPr>
              <w:t>2. Staklene kuglice – udio recikliranog stakla</w:t>
            </w:r>
          </w:p>
          <w:p w:rsidR="00D9472D" w:rsidRDefault="00D9472D">
            <w:pPr>
              <w:rPr>
                <w:bCs/>
                <w:highlight w:val="yellow"/>
              </w:rPr>
            </w:pPr>
          </w:p>
          <w:p w:rsidR="00D9472D" w:rsidRDefault="002E5D08">
            <w:pPr>
              <w:rPr>
                <w:i/>
                <w:iCs/>
              </w:rPr>
            </w:pPr>
            <w:r>
              <w:rPr>
                <w:i/>
              </w:rPr>
              <w:t xml:space="preserve">(Za nabavu oznaka na kolniku koje sadržavaju staklene kuglice koje moraju ispuniti poseban razred noćne vidljivosti i retroreflektivnosti utvrđen u pozivu za ponošenje ponude. Ovo mjerilo nije primjenjivo kada javni naručitelj utvrdi posebna svojstva, kao </w:t>
            </w:r>
            <w:r>
              <w:rPr>
                <w:i/>
              </w:rPr>
              <w:t>što su zahtjevi za visoku retroreflektivnost.)</w:t>
            </w:r>
          </w:p>
          <w:p w:rsidR="00D9472D" w:rsidRDefault="00D9472D"/>
          <w:p w:rsidR="00D9472D" w:rsidRDefault="002E5D08">
            <w:r>
              <w:t>Dodjeljuje se X bodova proporcionalno udjelu recikliranog stakla (prema masenom udjelu) u ukupnoj količini staklenih kuglica koje se upotrebljavaju za ispunjavanje ugovora.</w:t>
            </w:r>
            <w:r>
              <w:rPr>
                <w:sz w:val="18"/>
              </w:rPr>
              <w:t xml:space="preserve"> </w:t>
            </w:r>
            <w:r>
              <w:t>Udio recikliranog stakla izračunava</w:t>
            </w:r>
            <w:r>
              <w:t xml:space="preserve"> se na osnovi bilance prosječne mase upotrijebljenih sirovina (u skladu s metodologijom propisanom normom ISO 14021).</w:t>
            </w:r>
          </w:p>
          <w:p w:rsidR="00D9472D" w:rsidRDefault="00D9472D">
            <w:pPr>
              <w:rPr>
                <w:b/>
                <w:szCs w:val="22"/>
              </w:rPr>
            </w:pPr>
          </w:p>
          <w:p w:rsidR="00D9472D" w:rsidRDefault="002E5D08">
            <w:pPr>
              <w:rPr>
                <w:b/>
                <w:bCs/>
              </w:rPr>
            </w:pPr>
            <w:r>
              <w:rPr>
                <w:b/>
              </w:rPr>
              <w:t>Tablica 17. Bodovi koje treba dodijeliti na osnovi udjela recikliranog stakla</w:t>
            </w:r>
          </w:p>
          <w:tbl>
            <w:tblPr>
              <w:tblStyle w:val="TableGrid"/>
              <w:tblW w:w="0" w:type="auto"/>
              <w:tblInd w:w="108" w:type="dxa"/>
              <w:tblLayout w:type="fixed"/>
              <w:tblLook w:val="04A0" w:firstRow="1" w:lastRow="0" w:firstColumn="1" w:lastColumn="0" w:noHBand="0" w:noVBand="1"/>
            </w:tblPr>
            <w:tblGrid>
              <w:gridCol w:w="3480"/>
              <w:gridCol w:w="2640"/>
            </w:tblGrid>
            <w:tr w:rsidR="00D9472D">
              <w:tc>
                <w:tcPr>
                  <w:tcW w:w="3480" w:type="dxa"/>
                  <w:tcBorders>
                    <w:top w:val="single" w:sz="4" w:space="0" w:color="auto"/>
                    <w:left w:val="single" w:sz="4" w:space="0" w:color="auto"/>
                    <w:bottom w:val="single" w:sz="4" w:space="0" w:color="auto"/>
                    <w:right w:val="single" w:sz="4" w:space="0" w:color="auto"/>
                  </w:tcBorders>
                  <w:vAlign w:val="center"/>
                  <w:hideMark/>
                </w:tcPr>
                <w:p w:rsidR="00D9472D" w:rsidRDefault="002E5D08">
                  <w:pPr>
                    <w:pStyle w:val="Default"/>
                    <w:spacing w:before="120" w:after="120" w:line="240" w:lineRule="auto"/>
                    <w:jc w:val="center"/>
                    <w:outlineLvl w:val="5"/>
                    <w:rPr>
                      <w:b/>
                      <w:color w:val="auto"/>
                      <w:sz w:val="22"/>
                      <w:szCs w:val="22"/>
                    </w:rPr>
                  </w:pPr>
                  <w:r>
                    <w:rPr>
                      <w:b/>
                      <w:color w:val="auto"/>
                      <w:sz w:val="22"/>
                    </w:rPr>
                    <w:t>Udio recikliranog stakla</w:t>
                  </w:r>
                </w:p>
              </w:tc>
              <w:tc>
                <w:tcPr>
                  <w:tcW w:w="2640" w:type="dxa"/>
                  <w:tcBorders>
                    <w:top w:val="single" w:sz="4" w:space="0" w:color="auto"/>
                    <w:left w:val="single" w:sz="4" w:space="0" w:color="auto"/>
                    <w:bottom w:val="single" w:sz="4" w:space="0" w:color="auto"/>
                    <w:right w:val="single" w:sz="4" w:space="0" w:color="auto"/>
                  </w:tcBorders>
                  <w:vAlign w:val="center"/>
                </w:tcPr>
                <w:p w:rsidR="00D9472D" w:rsidRDefault="002E5D08">
                  <w:pPr>
                    <w:pStyle w:val="Default"/>
                    <w:spacing w:before="120" w:after="120" w:line="240" w:lineRule="auto"/>
                    <w:jc w:val="center"/>
                    <w:outlineLvl w:val="5"/>
                    <w:rPr>
                      <w:b/>
                      <w:color w:val="auto"/>
                      <w:sz w:val="22"/>
                      <w:szCs w:val="22"/>
                    </w:rPr>
                  </w:pPr>
                  <w:r>
                    <w:rPr>
                      <w:b/>
                      <w:color w:val="auto"/>
                      <w:sz w:val="22"/>
                    </w:rPr>
                    <w:t>Bodovi</w:t>
                  </w:r>
                </w:p>
              </w:tc>
            </w:tr>
            <w:tr w:rsidR="00D9472D">
              <w:tc>
                <w:tcPr>
                  <w:tcW w:w="3480" w:type="dxa"/>
                  <w:tcBorders>
                    <w:top w:val="single" w:sz="4" w:space="0" w:color="auto"/>
                    <w:left w:val="single" w:sz="4" w:space="0" w:color="auto"/>
                    <w:bottom w:val="single" w:sz="4" w:space="0" w:color="auto"/>
                    <w:right w:val="single" w:sz="4" w:space="0" w:color="auto"/>
                  </w:tcBorders>
                  <w:hideMark/>
                </w:tcPr>
                <w:p w:rsidR="00D9472D" w:rsidRDefault="002E5D08">
                  <w:pPr>
                    <w:pStyle w:val="Default"/>
                    <w:spacing w:before="120" w:after="120" w:line="240" w:lineRule="auto"/>
                    <w:rPr>
                      <w:color w:val="auto"/>
                      <w:sz w:val="22"/>
                      <w:szCs w:val="22"/>
                    </w:rPr>
                  </w:pPr>
                  <w:r>
                    <w:rPr>
                      <w:color w:val="auto"/>
                      <w:sz w:val="22"/>
                    </w:rPr>
                    <w:t>75 – 100 %</w:t>
                  </w:r>
                </w:p>
              </w:tc>
              <w:tc>
                <w:tcPr>
                  <w:tcW w:w="2640" w:type="dxa"/>
                  <w:tcBorders>
                    <w:top w:val="single" w:sz="4" w:space="0" w:color="auto"/>
                    <w:left w:val="single" w:sz="4" w:space="0" w:color="auto"/>
                    <w:bottom w:val="single" w:sz="4" w:space="0" w:color="auto"/>
                    <w:right w:val="single" w:sz="4" w:space="0" w:color="auto"/>
                  </w:tcBorders>
                  <w:hideMark/>
                </w:tcPr>
                <w:p w:rsidR="00D9472D" w:rsidRDefault="002E5D08">
                  <w:pPr>
                    <w:pStyle w:val="Default"/>
                    <w:spacing w:before="120" w:after="120" w:line="240" w:lineRule="auto"/>
                    <w:rPr>
                      <w:color w:val="auto"/>
                      <w:sz w:val="22"/>
                      <w:szCs w:val="22"/>
                    </w:rPr>
                  </w:pPr>
                  <w:r>
                    <w:rPr>
                      <w:color w:val="auto"/>
                      <w:sz w:val="22"/>
                    </w:rPr>
                    <w:t>100 % bodova</w:t>
                  </w:r>
                </w:p>
              </w:tc>
            </w:tr>
            <w:tr w:rsidR="00D9472D">
              <w:tc>
                <w:tcPr>
                  <w:tcW w:w="3480" w:type="dxa"/>
                  <w:tcBorders>
                    <w:top w:val="single" w:sz="4" w:space="0" w:color="auto"/>
                    <w:left w:val="single" w:sz="4" w:space="0" w:color="auto"/>
                    <w:bottom w:val="single" w:sz="4" w:space="0" w:color="auto"/>
                    <w:right w:val="single" w:sz="4" w:space="0" w:color="auto"/>
                  </w:tcBorders>
                  <w:hideMark/>
                </w:tcPr>
                <w:p w:rsidR="00D9472D" w:rsidRDefault="002E5D08">
                  <w:pPr>
                    <w:pStyle w:val="Default"/>
                    <w:spacing w:before="120" w:after="120" w:line="240" w:lineRule="auto"/>
                    <w:rPr>
                      <w:color w:val="auto"/>
                      <w:sz w:val="22"/>
                      <w:szCs w:val="22"/>
                    </w:rPr>
                  </w:pPr>
                  <w:r>
                    <w:rPr>
                      <w:color w:val="auto"/>
                      <w:sz w:val="22"/>
                    </w:rPr>
                    <w:t>50 – 75 %</w:t>
                  </w:r>
                </w:p>
              </w:tc>
              <w:tc>
                <w:tcPr>
                  <w:tcW w:w="2640" w:type="dxa"/>
                  <w:tcBorders>
                    <w:top w:val="single" w:sz="4" w:space="0" w:color="auto"/>
                    <w:left w:val="single" w:sz="4" w:space="0" w:color="auto"/>
                    <w:bottom w:val="single" w:sz="4" w:space="0" w:color="auto"/>
                    <w:right w:val="single" w:sz="4" w:space="0" w:color="auto"/>
                  </w:tcBorders>
                  <w:hideMark/>
                </w:tcPr>
                <w:p w:rsidR="00D9472D" w:rsidRDefault="002E5D08">
                  <w:pPr>
                    <w:pStyle w:val="Default"/>
                    <w:spacing w:before="120" w:after="120" w:line="240" w:lineRule="auto"/>
                    <w:rPr>
                      <w:color w:val="auto"/>
                      <w:sz w:val="22"/>
                      <w:szCs w:val="22"/>
                    </w:rPr>
                  </w:pPr>
                  <w:r>
                    <w:rPr>
                      <w:color w:val="auto"/>
                      <w:sz w:val="22"/>
                    </w:rPr>
                    <w:t>75 % bodova</w:t>
                  </w:r>
                </w:p>
              </w:tc>
            </w:tr>
            <w:tr w:rsidR="00D9472D">
              <w:tc>
                <w:tcPr>
                  <w:tcW w:w="3480" w:type="dxa"/>
                  <w:tcBorders>
                    <w:top w:val="single" w:sz="4" w:space="0" w:color="auto"/>
                    <w:left w:val="single" w:sz="4" w:space="0" w:color="auto"/>
                    <w:bottom w:val="single" w:sz="4" w:space="0" w:color="auto"/>
                    <w:right w:val="single" w:sz="4" w:space="0" w:color="auto"/>
                  </w:tcBorders>
                  <w:hideMark/>
                </w:tcPr>
                <w:p w:rsidR="00D9472D" w:rsidRDefault="002E5D08">
                  <w:pPr>
                    <w:pStyle w:val="Default"/>
                    <w:spacing w:before="120" w:after="120" w:line="240" w:lineRule="auto"/>
                    <w:rPr>
                      <w:color w:val="auto"/>
                      <w:sz w:val="22"/>
                      <w:szCs w:val="22"/>
                    </w:rPr>
                  </w:pPr>
                  <w:r>
                    <w:rPr>
                      <w:color w:val="auto"/>
                      <w:sz w:val="22"/>
                    </w:rPr>
                    <w:t>25 – 50 %</w:t>
                  </w:r>
                </w:p>
              </w:tc>
              <w:tc>
                <w:tcPr>
                  <w:tcW w:w="2640" w:type="dxa"/>
                  <w:tcBorders>
                    <w:top w:val="single" w:sz="4" w:space="0" w:color="auto"/>
                    <w:left w:val="single" w:sz="4" w:space="0" w:color="auto"/>
                    <w:bottom w:val="single" w:sz="4" w:space="0" w:color="auto"/>
                    <w:right w:val="single" w:sz="4" w:space="0" w:color="auto"/>
                  </w:tcBorders>
                  <w:hideMark/>
                </w:tcPr>
                <w:p w:rsidR="00D9472D" w:rsidRDefault="002E5D08">
                  <w:pPr>
                    <w:pStyle w:val="Default"/>
                    <w:spacing w:before="120" w:after="120" w:line="240" w:lineRule="auto"/>
                    <w:rPr>
                      <w:color w:val="auto"/>
                      <w:sz w:val="22"/>
                      <w:szCs w:val="22"/>
                    </w:rPr>
                  </w:pPr>
                  <w:r>
                    <w:rPr>
                      <w:color w:val="auto"/>
                      <w:sz w:val="22"/>
                    </w:rPr>
                    <w:t>50 % bodova</w:t>
                  </w:r>
                </w:p>
              </w:tc>
            </w:tr>
            <w:tr w:rsidR="00D9472D">
              <w:tc>
                <w:tcPr>
                  <w:tcW w:w="3480" w:type="dxa"/>
                  <w:tcBorders>
                    <w:top w:val="single" w:sz="4" w:space="0" w:color="auto"/>
                    <w:left w:val="single" w:sz="4" w:space="0" w:color="auto"/>
                    <w:bottom w:val="single" w:sz="4" w:space="0" w:color="auto"/>
                    <w:right w:val="single" w:sz="4" w:space="0" w:color="auto"/>
                  </w:tcBorders>
                  <w:hideMark/>
                </w:tcPr>
                <w:p w:rsidR="00D9472D" w:rsidRDefault="002E5D08">
                  <w:pPr>
                    <w:pStyle w:val="Default"/>
                    <w:spacing w:before="120" w:after="120" w:line="240" w:lineRule="auto"/>
                    <w:rPr>
                      <w:color w:val="auto"/>
                      <w:sz w:val="22"/>
                      <w:szCs w:val="22"/>
                    </w:rPr>
                  </w:pPr>
                  <w:r>
                    <w:rPr>
                      <w:color w:val="auto"/>
                      <w:sz w:val="22"/>
                    </w:rPr>
                    <w:t>&lt; 25 %</w:t>
                  </w:r>
                </w:p>
              </w:tc>
              <w:tc>
                <w:tcPr>
                  <w:tcW w:w="2640" w:type="dxa"/>
                  <w:tcBorders>
                    <w:top w:val="single" w:sz="4" w:space="0" w:color="auto"/>
                    <w:left w:val="single" w:sz="4" w:space="0" w:color="auto"/>
                    <w:bottom w:val="single" w:sz="4" w:space="0" w:color="auto"/>
                    <w:right w:val="single" w:sz="4" w:space="0" w:color="auto"/>
                  </w:tcBorders>
                  <w:hideMark/>
                </w:tcPr>
                <w:p w:rsidR="00D9472D" w:rsidRDefault="002E5D08">
                  <w:pPr>
                    <w:pStyle w:val="Default"/>
                    <w:spacing w:before="120" w:after="120" w:line="240" w:lineRule="auto"/>
                    <w:rPr>
                      <w:color w:val="auto"/>
                      <w:sz w:val="22"/>
                      <w:szCs w:val="22"/>
                    </w:rPr>
                  </w:pPr>
                  <w:r>
                    <w:rPr>
                      <w:color w:val="auto"/>
                      <w:sz w:val="22"/>
                    </w:rPr>
                    <w:t>0 bodova</w:t>
                  </w:r>
                </w:p>
              </w:tc>
            </w:tr>
          </w:tbl>
          <w:p w:rsidR="00D9472D" w:rsidRDefault="00D9472D">
            <w:pPr>
              <w:rPr>
                <w:b/>
                <w:bCs/>
              </w:rPr>
            </w:pPr>
          </w:p>
          <w:p w:rsidR="00D9472D" w:rsidRDefault="002E5D08">
            <w:r>
              <w:t>Mora se ispuniti utvrđeni razred noćne vidljivosti i retroreflektivnosti u mokrim uvjetima utvrđen u pozivu za podnošenje ponuda.</w:t>
            </w:r>
          </w:p>
          <w:p w:rsidR="00D9472D" w:rsidRDefault="00D9472D"/>
          <w:p w:rsidR="00D9472D" w:rsidRDefault="00D9472D">
            <w:pPr>
              <w:rPr>
                <w:b/>
                <w:bCs/>
              </w:rPr>
            </w:pPr>
          </w:p>
          <w:p w:rsidR="00D9472D" w:rsidRDefault="002E5D08">
            <w:pPr>
              <w:rPr>
                <w:b/>
                <w:bCs/>
              </w:rPr>
            </w:pPr>
            <w:r>
              <w:rPr>
                <w:b/>
              </w:rPr>
              <w:t>Provjera:</w:t>
            </w:r>
          </w:p>
          <w:p w:rsidR="00D9472D" w:rsidRDefault="002E5D08">
            <w:pPr>
              <w:pStyle w:val="Default"/>
              <w:jc w:val="both"/>
            </w:pPr>
            <w:r>
              <w:t>Ponuditelj dostavlja dokumentaciju proizvođača staklenih kuglica koju je verificirala treća strana u kojoj je naznačen udio recikliranog stakla (prema masenom udjelu) u ukupnoj količini staklenih kuglica upotrijebljenih za ispunjenje ugovora. Kada se dodij</w:t>
            </w:r>
            <w:r>
              <w:t>eli ugovor ili na zahtjev javnog naručitelja ponuditelj dostavlja dokumentaciju koju je potvrdila treća strana u kojoj je opisan izračun (prema metodologiji propisanoj u normi ISO 14021) navedenog udjela recikliranog stakla te evidenciju podataka koji potk</w:t>
            </w:r>
            <w:r>
              <w:t>rijepljuju navedeni izračun koju je potvrdila treća strana, uključujući najmanje dokumentaciju o seriji i sustavu kontrole proizvodnje u tvornici (kojim se upravlja u skladu s normom EN 1423 ili jednakovrijednom normom</w:t>
            </w:r>
            <w:r>
              <w:rPr>
                <w:vertAlign w:val="superscript"/>
              </w:rPr>
              <w:t>1</w:t>
            </w:r>
            <w:r>
              <w:t>).</w:t>
            </w:r>
          </w:p>
          <w:p w:rsidR="00D9472D" w:rsidRDefault="002E5D08">
            <w:pPr>
              <w:rPr>
                <w:sz w:val="24"/>
              </w:rPr>
            </w:pPr>
            <w:r>
              <w:rPr>
                <w:i/>
                <w:vertAlign w:val="superscript"/>
              </w:rPr>
              <w:t>1</w:t>
            </w:r>
            <w:r>
              <w:rPr>
                <w:i/>
              </w:rPr>
              <w:t xml:space="preserve"> </w:t>
            </w:r>
            <w:r>
              <w:rPr>
                <w:i/>
                <w:sz w:val="18"/>
              </w:rPr>
              <w:t>To bi moglo uključivati normu IS</w:t>
            </w:r>
            <w:r>
              <w:rPr>
                <w:i/>
                <w:sz w:val="18"/>
              </w:rPr>
              <w:t>O 9001 ili nacionalni ili međunarodni plan za potvrdu sljedivosti udjela recikliranog stakla.</w:t>
            </w:r>
          </w:p>
          <w:p w:rsidR="00D9472D" w:rsidRDefault="00D9472D">
            <w:pPr>
              <w:tabs>
                <w:tab w:val="left" w:pos="1951"/>
                <w:tab w:val="left" w:pos="4502"/>
              </w:tabs>
              <w:rPr>
                <w:b/>
                <w:szCs w:val="22"/>
              </w:rPr>
            </w:pPr>
          </w:p>
        </w:tc>
      </w:tr>
      <w:tr w:rsidR="00D9472D">
        <w:tblPrEx>
          <w:tblLook w:val="04A0" w:firstRow="1" w:lastRow="0" w:firstColumn="1" w:lastColumn="0" w:noHBand="0" w:noVBand="1"/>
        </w:tblPrEx>
        <w:tc>
          <w:tcPr>
            <w:tcW w:w="5000" w:type="pct"/>
            <w:gridSpan w:val="2"/>
            <w:shd w:val="clear" w:color="auto" w:fill="92D050"/>
          </w:tcPr>
          <w:p w:rsidR="00D9472D" w:rsidRDefault="002E5D08">
            <w:pPr>
              <w:spacing w:before="40" w:after="40"/>
              <w:jc w:val="center"/>
              <w:rPr>
                <w:b/>
                <w:szCs w:val="22"/>
              </w:rPr>
            </w:pPr>
            <w:r>
              <w:rPr>
                <w:b/>
              </w:rPr>
              <w:t>ODREDBE O IZVRŠENJU UGOVORA</w:t>
            </w:r>
          </w:p>
        </w:tc>
      </w:tr>
      <w:tr w:rsidR="00D9472D">
        <w:tblPrEx>
          <w:tblLook w:val="04A0" w:firstRow="1" w:lastRow="0" w:firstColumn="1" w:lastColumn="0" w:noHBand="0" w:noVBand="1"/>
        </w:tblPrEx>
        <w:tc>
          <w:tcPr>
            <w:tcW w:w="5000" w:type="pct"/>
            <w:gridSpan w:val="2"/>
            <w:shd w:val="clear" w:color="auto" w:fill="auto"/>
          </w:tcPr>
          <w:p w:rsidR="00D9472D" w:rsidRDefault="002E5D08">
            <w:pPr>
              <w:tabs>
                <w:tab w:val="left" w:pos="1951"/>
                <w:tab w:val="left" w:pos="4502"/>
              </w:tabs>
              <w:spacing w:before="120"/>
              <w:rPr>
                <w:b/>
                <w:szCs w:val="22"/>
              </w:rPr>
            </w:pPr>
            <w:r>
              <w:rPr>
                <w:b/>
              </w:rPr>
              <w:t>1. Tehnička podrška i inspekcijski pregledi na licu mjesta</w:t>
            </w:r>
          </w:p>
          <w:p w:rsidR="00D9472D" w:rsidRDefault="002E5D08">
            <w:pPr>
              <w:rPr>
                <w:bCs/>
                <w:i/>
                <w:szCs w:val="22"/>
              </w:rPr>
            </w:pPr>
            <w:r>
              <w:rPr>
                <w:i/>
              </w:rPr>
              <w:t>(Isto za osnovna i sveobuhvatna mjerila)</w:t>
            </w:r>
          </w:p>
          <w:p w:rsidR="00D9472D" w:rsidRDefault="00D9472D">
            <w:pPr>
              <w:rPr>
                <w:bCs/>
                <w:i/>
                <w:szCs w:val="22"/>
              </w:rPr>
            </w:pPr>
          </w:p>
          <w:p w:rsidR="00D9472D" w:rsidRDefault="002E5D08">
            <w:pPr>
              <w:rPr>
                <w:szCs w:val="22"/>
              </w:rPr>
            </w:pPr>
            <w:r>
              <w:t>Ugovaratelj javnom naručitelju</w:t>
            </w:r>
            <w:r>
              <w:t xml:space="preserve"> ili njegovim ugovarateljima dostavlja tehničke savjete i upute za rad na lokaciji, uključujući:</w:t>
            </w:r>
          </w:p>
          <w:p w:rsidR="00D9472D" w:rsidRDefault="002E5D08">
            <w:pPr>
              <w:pStyle w:val="ListParagraph"/>
              <w:numPr>
                <w:ilvl w:val="0"/>
                <w:numId w:val="12"/>
              </w:numPr>
              <w:rPr>
                <w:szCs w:val="22"/>
              </w:rPr>
            </w:pPr>
            <w:r>
              <w:t>opise metoda i smjernice za pripremu podloge</w:t>
            </w:r>
          </w:p>
          <w:p w:rsidR="00D9472D" w:rsidRDefault="002E5D08">
            <w:pPr>
              <w:pStyle w:val="ListParagraph"/>
              <w:numPr>
                <w:ilvl w:val="0"/>
                <w:numId w:val="12"/>
              </w:numPr>
              <w:rPr>
                <w:szCs w:val="22"/>
              </w:rPr>
            </w:pPr>
            <w:r>
              <w:t>opise metoda i smjernice za pripremu proizvoda, uključujući procjene za primjenu po m</w:t>
            </w:r>
            <w:r>
              <w:rPr>
                <w:vertAlign w:val="superscript"/>
              </w:rPr>
              <w:t>2</w:t>
            </w:r>
          </w:p>
          <w:p w:rsidR="00D9472D" w:rsidRDefault="002E5D08">
            <w:pPr>
              <w:pStyle w:val="ListParagraph"/>
              <w:numPr>
                <w:ilvl w:val="0"/>
                <w:numId w:val="12"/>
              </w:numPr>
              <w:rPr>
                <w:szCs w:val="22"/>
              </w:rPr>
            </w:pPr>
            <w:r>
              <w:t>optimalne uvjete za skladiš</w:t>
            </w:r>
            <w:r>
              <w:t>tenje i primjenu proizvoda, uključujući podršku pri odabiru i upotrebi opreme za primjenu</w:t>
            </w:r>
          </w:p>
          <w:p w:rsidR="00D9472D" w:rsidRDefault="002E5D08">
            <w:pPr>
              <w:pStyle w:val="ListParagraph"/>
              <w:numPr>
                <w:ilvl w:val="0"/>
                <w:numId w:val="12"/>
              </w:numPr>
              <w:rPr>
                <w:szCs w:val="22"/>
              </w:rPr>
            </w:pPr>
            <w:r>
              <w:t>mjere za smanjenje rizika kako bi se smanjilo onečišćenje okoliša</w:t>
            </w:r>
          </w:p>
          <w:p w:rsidR="00D9472D" w:rsidRDefault="002E5D08">
            <w:pPr>
              <w:pStyle w:val="ListParagraph"/>
              <w:numPr>
                <w:ilvl w:val="0"/>
                <w:numId w:val="12"/>
              </w:numPr>
              <w:rPr>
                <w:szCs w:val="22"/>
              </w:rPr>
            </w:pPr>
            <w:r>
              <w:t>savjete o primjerenom odlaganju neiskorištenog proizvoda.</w:t>
            </w:r>
          </w:p>
          <w:p w:rsidR="00D9472D" w:rsidRDefault="00D9472D">
            <w:pPr>
              <w:rPr>
                <w:szCs w:val="22"/>
              </w:rPr>
            </w:pPr>
          </w:p>
          <w:p w:rsidR="00D9472D" w:rsidRDefault="002E5D08">
            <w:pPr>
              <w:rPr>
                <w:szCs w:val="22"/>
              </w:rPr>
            </w:pPr>
            <w:r>
              <w:t>Na zahtjev se radnicima javnog naručitelj</w:t>
            </w:r>
            <w:r>
              <w:t>a ili njegova ugovaratelja na terenu na raspolaganje stavljaju i tehnički savjeti u obliku posjeta na licu mjesta (broj i opseg treba odrediti javni naručitelj u fazi nadmetanja) ili telefonske linije za tehničku pomoć (na jeziku koji odredi javni naručite</w:t>
            </w:r>
            <w:r>
              <w:t>lj).</w:t>
            </w:r>
          </w:p>
          <w:p w:rsidR="00D9472D" w:rsidRDefault="00D9472D">
            <w:pPr>
              <w:rPr>
                <w:szCs w:val="22"/>
              </w:rPr>
            </w:pPr>
          </w:p>
          <w:p w:rsidR="00D9472D" w:rsidRDefault="002E5D08">
            <w:pPr>
              <w:rPr>
                <w:szCs w:val="22"/>
              </w:rPr>
            </w:pPr>
            <w:r>
              <w:t>Ponuditelj dostavlja dokumentaciju koja uključuje navedene informacije. Radnici koji primjenjuju proizvod za označivanje kolnika moraju u povratnim informacijama u pisanom obliku potvrditi zadovoljavajuće pružanje tehničkih savjeta i podrške na teren</w:t>
            </w:r>
            <w:r>
              <w:t>u.</w:t>
            </w:r>
          </w:p>
        </w:tc>
      </w:tr>
    </w:tbl>
    <w:p w:rsidR="00D9472D" w:rsidRDefault="00D9472D">
      <w:pPr>
        <w:jc w:val="left"/>
      </w:pPr>
    </w:p>
    <w:p w:rsidR="00D9472D" w:rsidRDefault="00D9472D">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gridCol w:w="7087"/>
      </w:tblGrid>
      <w:tr w:rsidR="00D9472D">
        <w:tc>
          <w:tcPr>
            <w:tcW w:w="5000" w:type="pct"/>
            <w:gridSpan w:val="2"/>
            <w:shd w:val="clear" w:color="auto" w:fill="auto"/>
          </w:tcPr>
          <w:p w:rsidR="00D9472D" w:rsidRDefault="002E5D08">
            <w:pPr>
              <w:pStyle w:val="Heading2"/>
            </w:pPr>
            <w:r>
              <w:br w:type="page"/>
              <w:t>Ugovori o izvođenju radova označivanja kolnika</w:t>
            </w:r>
          </w:p>
        </w:tc>
      </w:tr>
      <w:tr w:rsidR="00D9472D">
        <w:tc>
          <w:tcPr>
            <w:tcW w:w="2500" w:type="pct"/>
            <w:shd w:val="clear" w:color="auto" w:fill="FFC000"/>
          </w:tcPr>
          <w:p w:rsidR="00D9472D" w:rsidRDefault="002E5D08">
            <w:pPr>
              <w:spacing w:before="40" w:after="40"/>
              <w:jc w:val="center"/>
              <w:rPr>
                <w:b/>
                <w:szCs w:val="22"/>
              </w:rPr>
            </w:pPr>
            <w:r>
              <w:rPr>
                <w:b/>
              </w:rPr>
              <w:t>Osnovna mjerila</w:t>
            </w:r>
          </w:p>
        </w:tc>
        <w:tc>
          <w:tcPr>
            <w:tcW w:w="2500" w:type="pct"/>
            <w:shd w:val="clear" w:color="auto" w:fill="FFC000"/>
          </w:tcPr>
          <w:p w:rsidR="00D9472D" w:rsidRDefault="002E5D08">
            <w:pPr>
              <w:spacing w:before="40" w:after="40"/>
              <w:jc w:val="center"/>
              <w:rPr>
                <w:szCs w:val="22"/>
              </w:rPr>
            </w:pPr>
            <w:r>
              <w:rPr>
                <w:b/>
              </w:rPr>
              <w:t>Sveobuhvatna mjerila</w:t>
            </w:r>
          </w:p>
        </w:tc>
      </w:tr>
      <w:tr w:rsidR="00D9472D">
        <w:tc>
          <w:tcPr>
            <w:tcW w:w="5000" w:type="pct"/>
            <w:gridSpan w:val="2"/>
            <w:shd w:val="clear" w:color="auto" w:fill="92D050"/>
          </w:tcPr>
          <w:p w:rsidR="00D9472D" w:rsidRDefault="002E5D08">
            <w:pPr>
              <w:spacing w:before="40" w:after="40"/>
              <w:jc w:val="center"/>
              <w:rPr>
                <w:b/>
                <w:szCs w:val="22"/>
              </w:rPr>
            </w:pPr>
            <w:r>
              <w:rPr>
                <w:b/>
              </w:rPr>
              <w:t>PREDMET</w:t>
            </w:r>
          </w:p>
        </w:tc>
      </w:tr>
      <w:tr w:rsidR="00D9472D">
        <w:tc>
          <w:tcPr>
            <w:tcW w:w="5000" w:type="pct"/>
            <w:gridSpan w:val="2"/>
            <w:shd w:val="clear" w:color="auto" w:fill="92D050"/>
          </w:tcPr>
          <w:p w:rsidR="00D9472D" w:rsidRDefault="002E5D08">
            <w:pPr>
              <w:spacing w:before="40" w:after="40"/>
              <w:jc w:val="center"/>
              <w:rPr>
                <w:b/>
                <w:bCs/>
                <w:szCs w:val="20"/>
              </w:rPr>
            </w:pPr>
            <w:r>
              <w:rPr>
                <w:b/>
              </w:rPr>
              <w:t>Sklapanje ugovora o izvođenju radova koji maksimalno povećavaju vijek trajanja oznaka na kolniku</w:t>
            </w:r>
          </w:p>
          <w:p w:rsidR="00D9472D" w:rsidRDefault="002E5D08">
            <w:pPr>
              <w:spacing w:before="40" w:after="40"/>
              <w:jc w:val="center"/>
              <w:rPr>
                <w:b/>
                <w:bCs/>
                <w:szCs w:val="20"/>
              </w:rPr>
            </w:pPr>
            <w:r>
              <w:rPr>
                <w:b/>
              </w:rPr>
              <w:t>i smanjuju povezane utjecaje na okoliš</w:t>
            </w:r>
          </w:p>
        </w:tc>
      </w:tr>
      <w:tr w:rsidR="00D9472D">
        <w:tc>
          <w:tcPr>
            <w:tcW w:w="5000" w:type="pct"/>
            <w:gridSpan w:val="2"/>
            <w:shd w:val="clear" w:color="auto" w:fill="92D050"/>
          </w:tcPr>
          <w:p w:rsidR="00D9472D" w:rsidRDefault="002E5D08">
            <w:pPr>
              <w:spacing w:before="40" w:after="40"/>
              <w:jc w:val="center"/>
              <w:rPr>
                <w:b/>
                <w:szCs w:val="22"/>
              </w:rPr>
            </w:pPr>
            <w:r>
              <w:rPr>
                <w:b/>
              </w:rPr>
              <w:t>MJERILA ZA ODABIR</w:t>
            </w:r>
          </w:p>
        </w:tc>
      </w:tr>
      <w:tr w:rsidR="00D9472D">
        <w:tc>
          <w:tcPr>
            <w:tcW w:w="5000" w:type="pct"/>
            <w:gridSpan w:val="2"/>
          </w:tcPr>
          <w:p w:rsidR="00D9472D" w:rsidRDefault="002E5D08">
            <w:pPr>
              <w:rPr>
                <w:b/>
                <w:szCs w:val="22"/>
              </w:rPr>
            </w:pPr>
            <w:r>
              <w:rPr>
                <w:b/>
              </w:rPr>
              <w:t>1. Osposobljenost ponuditelja</w:t>
            </w:r>
          </w:p>
          <w:p w:rsidR="00D9472D" w:rsidRDefault="002E5D08">
            <w:pPr>
              <w:rPr>
                <w:bCs/>
                <w:i/>
                <w:szCs w:val="22"/>
              </w:rPr>
            </w:pPr>
            <w:r>
              <w:rPr>
                <w:i/>
              </w:rPr>
              <w:t>(Isto za osnovna i sveobuhvatna mjerila)</w:t>
            </w:r>
          </w:p>
          <w:p w:rsidR="00D9472D" w:rsidRDefault="00D9472D">
            <w:pPr>
              <w:rPr>
                <w:bCs/>
                <w:i/>
                <w:szCs w:val="22"/>
              </w:rPr>
            </w:pPr>
          </w:p>
          <w:p w:rsidR="00D9472D" w:rsidRDefault="002E5D08">
            <w:pPr>
              <w:rPr>
                <w:szCs w:val="22"/>
              </w:rPr>
            </w:pPr>
            <w:r>
              <w:t>Ponuditelj dokazuje stručnu osposobljenost u sljedećim područjima, kako je relevantno za prirodu ugovora koji se sklapa:</w:t>
            </w:r>
          </w:p>
          <w:p w:rsidR="00D9472D" w:rsidRDefault="002E5D08">
            <w:pPr>
              <w:pStyle w:val="ListParagraph"/>
              <w:numPr>
                <w:ilvl w:val="0"/>
                <w:numId w:val="2"/>
              </w:numPr>
              <w:rPr>
                <w:szCs w:val="22"/>
              </w:rPr>
            </w:pPr>
            <w:r>
              <w:t xml:space="preserve">opisi metoda za učinkovitu upotrebu oznaka na kolniku na </w:t>
            </w:r>
            <w:r>
              <w:t>lokaciji, uključujući pripremu procjena i upotrebu specijalizirane opreme</w:t>
            </w:r>
          </w:p>
          <w:p w:rsidR="00D9472D" w:rsidRDefault="002E5D08">
            <w:pPr>
              <w:pStyle w:val="ListParagraph"/>
              <w:numPr>
                <w:ilvl w:val="0"/>
                <w:numId w:val="2"/>
              </w:numPr>
              <w:rPr>
                <w:szCs w:val="22"/>
              </w:rPr>
            </w:pPr>
            <w:r>
              <w:t xml:space="preserve">opisi metoda za pripremu podloga (uključujući, ako je potrebno, sigurnosne postupke za uklanjanje oznaka na kolniku koje su možda izrađene s olovnim pigmentom i smatraju se opasnima </w:t>
            </w:r>
            <w:r>
              <w:t xml:space="preserve">ili za visokotlačno uklanjanja oznaka na kolniku) </w:t>
            </w:r>
          </w:p>
          <w:p w:rsidR="00D9472D" w:rsidRDefault="002E5D08">
            <w:pPr>
              <w:pStyle w:val="ListParagraph"/>
              <w:numPr>
                <w:ilvl w:val="0"/>
                <w:numId w:val="2"/>
              </w:numPr>
              <w:rPr>
                <w:szCs w:val="22"/>
              </w:rPr>
            </w:pPr>
            <w:r>
              <w:t>opisi metoda za pripremu formulacija oznaka na kolniku i za rukovanje njima tijekom primjene</w:t>
            </w:r>
          </w:p>
          <w:p w:rsidR="00D9472D" w:rsidRDefault="002E5D08">
            <w:pPr>
              <w:pStyle w:val="ListParagraph"/>
              <w:numPr>
                <w:ilvl w:val="0"/>
                <w:numId w:val="2"/>
              </w:numPr>
              <w:rPr>
                <w:szCs w:val="22"/>
              </w:rPr>
            </w:pPr>
            <w:r>
              <w:t>primjena ekološki poboljšanih proizvoda, uključujući proizvode sa smanjenim udjelom hlapivih organskih spojeva</w:t>
            </w:r>
          </w:p>
          <w:p w:rsidR="00D9472D" w:rsidRDefault="002E5D08">
            <w:pPr>
              <w:pStyle w:val="ListParagraph"/>
              <w:numPr>
                <w:ilvl w:val="0"/>
                <w:numId w:val="2"/>
              </w:numPr>
              <w:rPr>
                <w:szCs w:val="22"/>
              </w:rPr>
            </w:pPr>
            <w:r>
              <w:t>p</w:t>
            </w:r>
            <w:r>
              <w:t>rimjena izdržljivih i visokokvalitetnih završnih premaza, na temelju relevantnih normi EN ili jednakovrijednih normi</w:t>
            </w:r>
          </w:p>
          <w:p w:rsidR="00D9472D" w:rsidRDefault="002E5D08">
            <w:pPr>
              <w:pStyle w:val="ListParagraph"/>
              <w:numPr>
                <w:ilvl w:val="0"/>
                <w:numId w:val="2"/>
              </w:numPr>
              <w:rPr>
                <w:szCs w:val="22"/>
              </w:rPr>
            </w:pPr>
            <w:r>
              <w:t>politike i potporni sustavi za upravljanje usmjereni na to da se smanji količina otpada od oznaka na kolniku, poveća ponovna upotreba ili r</w:t>
            </w:r>
            <w:r>
              <w:t>ecikliranje otpada i neiskorištenih oznaka na kolniku i osigura sigurno odlaganje oznaka na kolniku te drugih kemikalija kao što su tvari za skidanje oznaka na kolniku.</w:t>
            </w:r>
          </w:p>
          <w:p w:rsidR="00D9472D" w:rsidRDefault="00D9472D">
            <w:pPr>
              <w:ind w:left="412"/>
              <w:rPr>
                <w:szCs w:val="22"/>
              </w:rPr>
            </w:pPr>
          </w:p>
          <w:p w:rsidR="00D9472D" w:rsidRDefault="002E5D08">
            <w:pPr>
              <w:rPr>
                <w:bCs/>
                <w:szCs w:val="22"/>
              </w:rPr>
            </w:pPr>
            <w:r>
              <w:rPr>
                <w:b/>
              </w:rPr>
              <w:t>Provjera</w:t>
            </w:r>
            <w:r>
              <w:t>:</w:t>
            </w:r>
          </w:p>
          <w:p w:rsidR="00D9472D" w:rsidRDefault="002E5D08">
            <w:pPr>
              <w:rPr>
                <w:bCs/>
                <w:szCs w:val="22"/>
              </w:rPr>
            </w:pPr>
            <w:r>
              <w:t>Ponuditelj dostavlja dokaze u obliku informacija i upućivanja povezanih s re</w:t>
            </w:r>
            <w:r>
              <w:t>levantnim ugovorima u prethodnih pet godina u kojima su izvršeni prethodno navedeni elementi.</w:t>
            </w:r>
          </w:p>
        </w:tc>
      </w:tr>
      <w:tr w:rsidR="00D9472D">
        <w:tblPrEx>
          <w:tblLook w:val="04A0" w:firstRow="1" w:lastRow="0" w:firstColumn="1" w:lastColumn="0" w:noHBand="0" w:noVBand="1"/>
        </w:tblPrEx>
        <w:tc>
          <w:tcPr>
            <w:tcW w:w="5000" w:type="pct"/>
            <w:gridSpan w:val="2"/>
            <w:tcBorders>
              <w:bottom w:val="single" w:sz="4" w:space="0" w:color="auto"/>
            </w:tcBorders>
            <w:shd w:val="clear" w:color="auto" w:fill="92D050"/>
          </w:tcPr>
          <w:p w:rsidR="00D9472D" w:rsidRDefault="002E5D08">
            <w:pPr>
              <w:spacing w:before="40" w:after="40"/>
              <w:jc w:val="center"/>
              <w:rPr>
                <w:b/>
                <w:szCs w:val="22"/>
              </w:rPr>
            </w:pPr>
            <w:r>
              <w:rPr>
                <w:b/>
              </w:rPr>
              <w:t>TEHNIČKE SPECIFIKACIJE</w:t>
            </w:r>
          </w:p>
        </w:tc>
      </w:tr>
      <w:tr w:rsidR="00D9472D">
        <w:tblPrEx>
          <w:tblLook w:val="04A0" w:firstRow="1" w:lastRow="0" w:firstColumn="1" w:lastColumn="0" w:noHBand="0" w:noVBand="1"/>
        </w:tblPrEx>
        <w:tc>
          <w:tcPr>
            <w:tcW w:w="5000" w:type="pct"/>
            <w:gridSpan w:val="2"/>
            <w:shd w:val="clear" w:color="auto" w:fill="FFFFFF" w:themeFill="background1"/>
          </w:tcPr>
          <w:p w:rsidR="00D9472D" w:rsidRDefault="002E5D08">
            <w:pPr>
              <w:rPr>
                <w:b/>
                <w:szCs w:val="22"/>
              </w:rPr>
            </w:pPr>
            <w:r>
              <w:rPr>
                <w:b/>
              </w:rPr>
              <w:t>1. Upotreba oznaka na kolniku koje ispunjavaju mjerila EU-a za zelenu javnu nabavu</w:t>
            </w:r>
          </w:p>
          <w:p w:rsidR="00D9472D" w:rsidRDefault="002E5D08">
            <w:pPr>
              <w:rPr>
                <w:bCs/>
                <w:i/>
                <w:szCs w:val="22"/>
              </w:rPr>
            </w:pPr>
            <w:r>
              <w:rPr>
                <w:i/>
              </w:rPr>
              <w:t>(Isto za osnovna i sveobuhvatna mjerila)</w:t>
            </w:r>
          </w:p>
          <w:p w:rsidR="00D9472D" w:rsidRDefault="00D9472D">
            <w:pPr>
              <w:rPr>
                <w:bCs/>
                <w:i/>
                <w:szCs w:val="22"/>
              </w:rPr>
            </w:pPr>
          </w:p>
          <w:p w:rsidR="00D9472D" w:rsidRDefault="002E5D08">
            <w:pPr>
              <w:rPr>
                <w:szCs w:val="22"/>
              </w:rPr>
            </w:pPr>
            <w:r>
              <w:t xml:space="preserve">Svi ugovori </w:t>
            </w:r>
            <w:r>
              <w:t>o izvođenju radova izvršavaju se upotrebom oznaka na kolniku koje su u skladu sa zahtjevima EU-a za zelenu javnu nabavu kako je utvrđeno u Tehničkim specifikacijama za osnovna mjerila EU-a za zelenu javnu nabavu – odjeljak 4.3. oznake na kolniku.</w:t>
            </w:r>
          </w:p>
          <w:p w:rsidR="00D9472D" w:rsidRDefault="00D9472D">
            <w:pPr>
              <w:rPr>
                <w:szCs w:val="22"/>
              </w:rPr>
            </w:pPr>
          </w:p>
          <w:p w:rsidR="00D9472D" w:rsidRDefault="002E5D08">
            <w:pPr>
              <w:rPr>
                <w:bCs/>
                <w:szCs w:val="22"/>
              </w:rPr>
            </w:pPr>
            <w:r>
              <w:rPr>
                <w:b/>
              </w:rPr>
              <w:t>Provjera</w:t>
            </w:r>
            <w:r>
              <w:t>:</w:t>
            </w:r>
          </w:p>
          <w:p w:rsidR="00D9472D" w:rsidRDefault="002E5D08">
            <w:pPr>
              <w:rPr>
                <w:b/>
                <w:szCs w:val="22"/>
              </w:rPr>
            </w:pPr>
            <w:r>
              <w:t>Ponuditelj dostavlja popratnu dokumentaciju kojom potvrđuje da proizvodi koji se upotrebljavaju ispunjavaju prethodno utvrđena mjerila.</w:t>
            </w:r>
          </w:p>
        </w:tc>
      </w:tr>
      <w:tr w:rsidR="00D9472D">
        <w:tblPrEx>
          <w:tblLook w:val="04A0" w:firstRow="1" w:lastRow="0" w:firstColumn="1" w:lastColumn="0" w:noHBand="0" w:noVBand="1"/>
        </w:tblPrEx>
        <w:tc>
          <w:tcPr>
            <w:tcW w:w="5000" w:type="pct"/>
            <w:gridSpan w:val="2"/>
            <w:shd w:val="clear" w:color="auto" w:fill="auto"/>
          </w:tcPr>
          <w:p w:rsidR="00D9472D" w:rsidRDefault="002E5D08">
            <w:pPr>
              <w:tabs>
                <w:tab w:val="left" w:pos="1951"/>
                <w:tab w:val="left" w:pos="4502"/>
              </w:tabs>
              <w:rPr>
                <w:b/>
                <w:szCs w:val="22"/>
              </w:rPr>
            </w:pPr>
            <w:r>
              <w:rPr>
                <w:b/>
              </w:rPr>
              <w:t>2. Upravljanje otpadnim i neiskorištenim materijalom za oznake na kolniku</w:t>
            </w:r>
          </w:p>
          <w:p w:rsidR="00D9472D" w:rsidRDefault="002E5D08">
            <w:pPr>
              <w:rPr>
                <w:bCs/>
                <w:i/>
                <w:szCs w:val="22"/>
              </w:rPr>
            </w:pPr>
            <w:r>
              <w:rPr>
                <w:i/>
              </w:rPr>
              <w:t>(Isto za osnovna i sveobuhvatna mjerila)</w:t>
            </w:r>
          </w:p>
          <w:p w:rsidR="00D9472D" w:rsidRDefault="00D9472D">
            <w:pPr>
              <w:rPr>
                <w:bCs/>
                <w:i/>
                <w:szCs w:val="22"/>
              </w:rPr>
            </w:pPr>
          </w:p>
          <w:p w:rsidR="00D9472D" w:rsidRDefault="002E5D08">
            <w:pPr>
              <w:tabs>
                <w:tab w:val="left" w:pos="1951"/>
                <w:tab w:val="left" w:pos="4502"/>
              </w:tabs>
              <w:rPr>
                <w:szCs w:val="22"/>
              </w:rPr>
            </w:pPr>
            <w:r>
              <w:t>Ponuditelj dostavlja plan gospodarenja otpadom za materijal za oznake na kolniku koji ostane nakon pripreme podloge i nakon primjene. Plan uključuje:</w:t>
            </w:r>
          </w:p>
          <w:p w:rsidR="00D9472D" w:rsidRDefault="002E5D08">
            <w:pPr>
              <w:pStyle w:val="ListParagraph"/>
              <w:numPr>
                <w:ilvl w:val="0"/>
                <w:numId w:val="11"/>
              </w:numPr>
              <w:tabs>
                <w:tab w:val="left" w:pos="1951"/>
                <w:tab w:val="left" w:pos="4502"/>
              </w:tabs>
              <w:rPr>
                <w:szCs w:val="22"/>
              </w:rPr>
            </w:pPr>
            <w:r>
              <w:t>ako je potrebno uklanjanje oznaka, procjenu mogućeg udjela opasnih tvari u materijalu za oznake na kolniku</w:t>
            </w:r>
            <w:r>
              <w:t xml:space="preserve"> koji treba skinuti s podloga i, ako je utvrđen rizik, opis metode za smanjenje rizika sigurnim rukovanjem i odlaganjem</w:t>
            </w:r>
          </w:p>
          <w:p w:rsidR="00D9472D" w:rsidRDefault="002E5D08">
            <w:pPr>
              <w:pStyle w:val="ListParagraph"/>
              <w:numPr>
                <w:ilvl w:val="0"/>
                <w:numId w:val="11"/>
              </w:numPr>
              <w:tabs>
                <w:tab w:val="left" w:pos="1951"/>
                <w:tab w:val="left" w:pos="4502"/>
              </w:tabs>
              <w:rPr>
                <w:szCs w:val="22"/>
              </w:rPr>
            </w:pPr>
            <w:r>
              <w:t>opis metode za prakse čišćenja opreme na terenu te za skladištenje otpadnog i neiskorištenog materijala za oznake na kolniku radi sigurn</w:t>
            </w:r>
            <w:r>
              <w:t>og odlaganja opasnog otpada</w:t>
            </w:r>
          </w:p>
          <w:p w:rsidR="00D9472D" w:rsidRDefault="002E5D08">
            <w:pPr>
              <w:pStyle w:val="ListParagraph"/>
              <w:numPr>
                <w:ilvl w:val="0"/>
                <w:numId w:val="11"/>
              </w:numPr>
              <w:tabs>
                <w:tab w:val="left" w:pos="1951"/>
                <w:tab w:val="left" w:pos="4502"/>
              </w:tabs>
              <w:rPr>
                <w:szCs w:val="22"/>
              </w:rPr>
            </w:pPr>
            <w:r>
              <w:t>mjere za smanjenje količine otpadnog i neiskorištenog materijala za oznake na kolniku.</w:t>
            </w:r>
          </w:p>
          <w:p w:rsidR="00D9472D" w:rsidRDefault="002E5D08">
            <w:pPr>
              <w:tabs>
                <w:tab w:val="left" w:pos="1951"/>
                <w:tab w:val="left" w:pos="4502"/>
              </w:tabs>
              <w:rPr>
                <w:b/>
                <w:szCs w:val="22"/>
              </w:rPr>
            </w:pPr>
            <w:r>
              <w:rPr>
                <w:b/>
              </w:rPr>
              <w:t>Provjera:</w:t>
            </w:r>
          </w:p>
          <w:p w:rsidR="00D9472D" w:rsidRDefault="002E5D08">
            <w:pPr>
              <w:tabs>
                <w:tab w:val="left" w:pos="1951"/>
                <w:tab w:val="left" w:pos="4502"/>
              </w:tabs>
              <w:rPr>
                <w:szCs w:val="22"/>
              </w:rPr>
            </w:pPr>
            <w:r>
              <w:t>Ponuditelj dostavlja dokumentirani plan gospodarenja otpadom koji uključuje opise metoda za sigurno uklanjanje oznaka, čišćenje opr</w:t>
            </w:r>
            <w:r>
              <w:t>eme, rukovanje otpadnim i neiskorištenim materijalom za oznake na kolniku i njegovo odlaganje te mjere koje se primjenjuju za smanjenje količine otpadnog i neiskorištenog materijala za oznake na kolniku.</w:t>
            </w:r>
          </w:p>
          <w:p w:rsidR="00D9472D" w:rsidRDefault="002E5D08">
            <w:pPr>
              <w:tabs>
                <w:tab w:val="left" w:pos="1951"/>
                <w:tab w:val="left" w:pos="4502"/>
              </w:tabs>
              <w:rPr>
                <w:szCs w:val="22"/>
              </w:rPr>
            </w:pPr>
            <w:r>
              <w:rPr>
                <w:i/>
              </w:rPr>
              <w:t>Praćenje otpadnog materijala za oznake na kolniku ob</w:t>
            </w:r>
            <w:r>
              <w:rPr>
                <w:i/>
              </w:rPr>
              <w:t>uhvaćeno je odredbom o izvršenju ugovora.</w:t>
            </w:r>
          </w:p>
        </w:tc>
      </w:tr>
      <w:tr w:rsidR="00D9472D">
        <w:tblPrEx>
          <w:tblLook w:val="04A0" w:firstRow="1" w:lastRow="0" w:firstColumn="1" w:lastColumn="0" w:noHBand="0" w:noVBand="1"/>
        </w:tblPrEx>
        <w:tc>
          <w:tcPr>
            <w:tcW w:w="5000" w:type="pct"/>
            <w:gridSpan w:val="2"/>
            <w:shd w:val="clear" w:color="auto" w:fill="92D050"/>
          </w:tcPr>
          <w:p w:rsidR="00D9472D" w:rsidRDefault="002E5D08">
            <w:pPr>
              <w:spacing w:before="40" w:after="40"/>
              <w:jc w:val="center"/>
              <w:rPr>
                <w:b/>
                <w:szCs w:val="22"/>
              </w:rPr>
            </w:pPr>
            <w:r>
              <w:rPr>
                <w:b/>
              </w:rPr>
              <w:t>MJERILA ZA DODJELU</w:t>
            </w:r>
          </w:p>
        </w:tc>
      </w:tr>
      <w:tr w:rsidR="00D9472D">
        <w:tblPrEx>
          <w:tblLook w:val="04A0" w:firstRow="1" w:lastRow="0" w:firstColumn="1" w:lastColumn="0" w:noHBand="0" w:noVBand="1"/>
        </w:tblPrEx>
        <w:tc>
          <w:tcPr>
            <w:tcW w:w="2500" w:type="pct"/>
            <w:shd w:val="clear" w:color="auto" w:fill="auto"/>
          </w:tcPr>
          <w:p w:rsidR="00D9472D" w:rsidRDefault="00D9472D">
            <w:pPr>
              <w:rPr>
                <w:szCs w:val="22"/>
              </w:rPr>
            </w:pPr>
          </w:p>
        </w:tc>
        <w:tc>
          <w:tcPr>
            <w:tcW w:w="2500" w:type="pct"/>
            <w:shd w:val="clear" w:color="auto" w:fill="auto"/>
          </w:tcPr>
          <w:p w:rsidR="00D9472D" w:rsidRDefault="002E5D08">
            <w:pPr>
              <w:tabs>
                <w:tab w:val="left" w:pos="1951"/>
                <w:tab w:val="left" w:pos="4502"/>
              </w:tabs>
              <w:rPr>
                <w:b/>
                <w:szCs w:val="22"/>
              </w:rPr>
            </w:pPr>
            <w:r>
              <w:rPr>
                <w:b/>
              </w:rPr>
              <w:t>1. Ugovori utemeljeni na učinkovitosti</w:t>
            </w:r>
          </w:p>
          <w:p w:rsidR="00D9472D" w:rsidRDefault="002E5D08">
            <w:pPr>
              <w:tabs>
                <w:tab w:val="left" w:pos="1951"/>
                <w:tab w:val="left" w:pos="4502"/>
              </w:tabs>
              <w:rPr>
                <w:i/>
                <w:szCs w:val="22"/>
              </w:rPr>
            </w:pPr>
            <w:r>
              <w:rPr>
                <w:i/>
              </w:rPr>
              <w:t>(Kada se nude dugoročni ugovori za radove postavljanja i održavanja oznaka na kolniku utemeljeni na učinkovitosti)</w:t>
            </w:r>
          </w:p>
          <w:p w:rsidR="00D9472D" w:rsidRDefault="00D9472D">
            <w:pPr>
              <w:tabs>
                <w:tab w:val="left" w:pos="1951"/>
                <w:tab w:val="left" w:pos="4502"/>
              </w:tabs>
              <w:rPr>
                <w:i/>
                <w:szCs w:val="22"/>
              </w:rPr>
            </w:pPr>
          </w:p>
          <w:p w:rsidR="00D9472D" w:rsidRDefault="002E5D08">
            <w:pPr>
              <w:tabs>
                <w:tab w:val="left" w:pos="1951"/>
                <w:tab w:val="left" w:pos="4502"/>
              </w:tabs>
              <w:rPr>
                <w:szCs w:val="22"/>
              </w:rPr>
            </w:pPr>
            <w:r>
              <w:t xml:space="preserve">Bodovi se dodjeljuju prema </w:t>
            </w:r>
            <w:r>
              <w:t>procijenjenoj količini materijala za oznake na kolniku koji će se upotrijebiti za održavanje kvalitete oznake na kolniku tijekom razdoblja valjanosti ugovora.</w:t>
            </w:r>
          </w:p>
          <w:p w:rsidR="00D9472D" w:rsidRDefault="00D9472D">
            <w:pPr>
              <w:tabs>
                <w:tab w:val="left" w:pos="1951"/>
                <w:tab w:val="left" w:pos="4502"/>
              </w:tabs>
              <w:rPr>
                <w:szCs w:val="22"/>
              </w:rPr>
            </w:pPr>
          </w:p>
          <w:p w:rsidR="00D9472D" w:rsidRDefault="002E5D08">
            <w:pPr>
              <w:tabs>
                <w:tab w:val="left" w:pos="1951"/>
                <w:tab w:val="left" w:pos="4502"/>
              </w:tabs>
              <w:rPr>
                <w:b/>
                <w:szCs w:val="22"/>
              </w:rPr>
            </w:pPr>
            <w:r>
              <w:rPr>
                <w:b/>
              </w:rPr>
              <w:t>Provjera:</w:t>
            </w:r>
          </w:p>
          <w:p w:rsidR="00D9472D" w:rsidRDefault="002E5D08">
            <w:pPr>
              <w:tabs>
                <w:tab w:val="left" w:pos="1951"/>
                <w:tab w:val="left" w:pos="4502"/>
              </w:tabs>
              <w:rPr>
                <w:b/>
                <w:szCs w:val="22"/>
              </w:rPr>
            </w:pPr>
            <w:r>
              <w:t>Ponuditelj dostavlja dokument u kojem utvrđuje procijenjene količine materijala za ozn</w:t>
            </w:r>
            <w:r>
              <w:t>ake na kolniku potrebne tijekom ugovorenog programa, uključujući pretpostavke o potrebnom broju ponovnih označivanja tijekom razdoblja valjanosti ugovora.</w:t>
            </w:r>
          </w:p>
        </w:tc>
      </w:tr>
      <w:tr w:rsidR="00D9472D">
        <w:tblPrEx>
          <w:tblLook w:val="04A0" w:firstRow="1" w:lastRow="0" w:firstColumn="1" w:lastColumn="0" w:noHBand="0" w:noVBand="1"/>
        </w:tblPrEx>
        <w:tc>
          <w:tcPr>
            <w:tcW w:w="5000" w:type="pct"/>
            <w:gridSpan w:val="2"/>
            <w:shd w:val="clear" w:color="auto" w:fill="92D050"/>
          </w:tcPr>
          <w:p w:rsidR="00D9472D" w:rsidRDefault="002E5D08">
            <w:pPr>
              <w:spacing w:before="40" w:after="40"/>
              <w:jc w:val="center"/>
              <w:rPr>
                <w:b/>
                <w:szCs w:val="22"/>
              </w:rPr>
            </w:pPr>
            <w:r>
              <w:rPr>
                <w:b/>
              </w:rPr>
              <w:t>ODREDBE O IZVRŠENJU UGOVORA</w:t>
            </w:r>
          </w:p>
        </w:tc>
      </w:tr>
      <w:tr w:rsidR="00D9472D">
        <w:tblPrEx>
          <w:tblLook w:val="04A0" w:firstRow="1" w:lastRow="0" w:firstColumn="1" w:lastColumn="0" w:noHBand="0" w:noVBand="1"/>
        </w:tblPrEx>
        <w:tc>
          <w:tcPr>
            <w:tcW w:w="5000" w:type="pct"/>
            <w:gridSpan w:val="2"/>
            <w:shd w:val="clear" w:color="auto" w:fill="auto"/>
          </w:tcPr>
          <w:p w:rsidR="00D9472D" w:rsidRDefault="002E5D08">
            <w:pPr>
              <w:tabs>
                <w:tab w:val="left" w:pos="1951"/>
                <w:tab w:val="left" w:pos="4502"/>
              </w:tabs>
              <w:rPr>
                <w:b/>
                <w:szCs w:val="22"/>
              </w:rPr>
            </w:pPr>
            <w:r>
              <w:rPr>
                <w:b/>
              </w:rPr>
              <w:t>1. Upravljanje upotrebom i primjenom oznaka na kolniku</w:t>
            </w:r>
          </w:p>
          <w:p w:rsidR="00D9472D" w:rsidRDefault="002E5D08">
            <w:pPr>
              <w:rPr>
                <w:bCs/>
                <w:i/>
                <w:szCs w:val="22"/>
              </w:rPr>
            </w:pPr>
            <w:r>
              <w:rPr>
                <w:i/>
              </w:rPr>
              <w:t>(Isto za osnovna</w:t>
            </w:r>
            <w:r>
              <w:rPr>
                <w:i/>
              </w:rPr>
              <w:t xml:space="preserve"> i sveobuhvatna mjerila)</w:t>
            </w:r>
          </w:p>
          <w:p w:rsidR="00D9472D" w:rsidRDefault="00D9472D">
            <w:pPr>
              <w:rPr>
                <w:bCs/>
                <w:i/>
                <w:szCs w:val="22"/>
              </w:rPr>
            </w:pPr>
          </w:p>
          <w:p w:rsidR="00D9472D" w:rsidRDefault="002E5D08">
            <w:pPr>
              <w:rPr>
                <w:szCs w:val="22"/>
              </w:rPr>
            </w:pPr>
            <w:r>
              <w:t>Ugovaratelj dostavlja evidenciju o (</w:t>
            </w:r>
            <w:r>
              <w:rPr>
                <w:i/>
              </w:rPr>
              <w:t>za ugovore utemeljene na učinkovitosti</w:t>
            </w:r>
            <w:r>
              <w:t>):</w:t>
            </w:r>
          </w:p>
          <w:p w:rsidR="00D9472D" w:rsidRDefault="002E5D08">
            <w:pPr>
              <w:pStyle w:val="ListParagraph"/>
              <w:numPr>
                <w:ilvl w:val="0"/>
                <w:numId w:val="14"/>
              </w:numPr>
              <w:rPr>
                <w:szCs w:val="22"/>
              </w:rPr>
            </w:pPr>
            <w:r>
              <w:t>količini kupljenih oznaka na kolniku</w:t>
            </w:r>
          </w:p>
          <w:p w:rsidR="00D9472D" w:rsidRDefault="002E5D08">
            <w:pPr>
              <w:pStyle w:val="ListParagraph"/>
              <w:numPr>
                <w:ilvl w:val="0"/>
                <w:numId w:val="14"/>
              </w:numPr>
              <w:rPr>
                <w:szCs w:val="22"/>
              </w:rPr>
            </w:pPr>
            <w:r>
              <w:t>količini oznaka na kolniku koje su stvarno upotrijebljene za ispunjavanje specifikacija ugovora.</w:t>
            </w:r>
          </w:p>
          <w:p w:rsidR="00D9472D" w:rsidRDefault="00D9472D">
            <w:pPr>
              <w:rPr>
                <w:szCs w:val="22"/>
              </w:rPr>
            </w:pPr>
          </w:p>
          <w:p w:rsidR="00D9472D" w:rsidRDefault="002E5D08">
            <w:pPr>
              <w:rPr>
                <w:szCs w:val="22"/>
              </w:rPr>
            </w:pPr>
            <w:r>
              <w:t>Ugovaratelj dostav</w:t>
            </w:r>
            <w:r>
              <w:t>lja i evidenciju za otpadni i neiskorišteni materijal za oznake na kolniku, uključujući evidenciju o praćenju materijala:</w:t>
            </w:r>
          </w:p>
          <w:p w:rsidR="00D9472D" w:rsidRDefault="002E5D08">
            <w:pPr>
              <w:pStyle w:val="ListParagraph"/>
              <w:numPr>
                <w:ilvl w:val="0"/>
                <w:numId w:val="13"/>
              </w:numPr>
              <w:rPr>
                <w:szCs w:val="22"/>
              </w:rPr>
            </w:pPr>
            <w:r>
              <w:t>koji je ugovaratelj ponovno upotrijebio</w:t>
            </w:r>
          </w:p>
          <w:p w:rsidR="00D9472D" w:rsidRDefault="002E5D08">
            <w:pPr>
              <w:pStyle w:val="ListParagraph"/>
              <w:numPr>
                <w:ilvl w:val="0"/>
                <w:numId w:val="13"/>
              </w:numPr>
              <w:rPr>
                <w:szCs w:val="22"/>
              </w:rPr>
            </w:pPr>
            <w:r>
              <w:t>koji je ponovno upotrijebio drugi vanjski subjekt</w:t>
            </w:r>
          </w:p>
          <w:p w:rsidR="00D9472D" w:rsidRDefault="002E5D08">
            <w:pPr>
              <w:pStyle w:val="ListParagraph"/>
              <w:numPr>
                <w:ilvl w:val="0"/>
                <w:numId w:val="13"/>
              </w:numPr>
              <w:rPr>
                <w:szCs w:val="22"/>
              </w:rPr>
            </w:pPr>
            <w:r>
              <w:t>koji je recikliran</w:t>
            </w:r>
          </w:p>
          <w:p w:rsidR="00D9472D" w:rsidRDefault="002E5D08">
            <w:pPr>
              <w:pStyle w:val="ListParagraph"/>
              <w:numPr>
                <w:ilvl w:val="0"/>
                <w:numId w:val="13"/>
              </w:numPr>
              <w:rPr>
                <w:szCs w:val="22"/>
              </w:rPr>
            </w:pPr>
            <w:r>
              <w:t>koji je sigurno odložen.</w:t>
            </w:r>
          </w:p>
          <w:p w:rsidR="00D9472D" w:rsidRDefault="00D9472D">
            <w:pPr>
              <w:rPr>
                <w:szCs w:val="22"/>
              </w:rPr>
            </w:pPr>
          </w:p>
          <w:p w:rsidR="00D9472D" w:rsidRDefault="002E5D08">
            <w:pPr>
              <w:rPr>
                <w:szCs w:val="22"/>
              </w:rPr>
            </w:pPr>
            <w:r>
              <w:t>Ako se s podloge morao ukloniti sloj starog materijala za oznake na kolniku, ugovaratelj dostavlja i evidenciju koja pokazuje:</w:t>
            </w:r>
          </w:p>
          <w:p w:rsidR="00D9472D" w:rsidRDefault="002E5D08">
            <w:pPr>
              <w:pStyle w:val="ListParagraph"/>
              <w:numPr>
                <w:ilvl w:val="0"/>
                <w:numId w:val="13"/>
              </w:numPr>
              <w:rPr>
                <w:szCs w:val="22"/>
              </w:rPr>
            </w:pPr>
            <w:r>
              <w:t>da se s materijalom sigurno rukovalo</w:t>
            </w:r>
          </w:p>
          <w:p w:rsidR="00D9472D" w:rsidRDefault="002E5D08">
            <w:pPr>
              <w:pStyle w:val="ListParagraph"/>
              <w:numPr>
                <w:ilvl w:val="0"/>
                <w:numId w:val="13"/>
              </w:numPr>
              <w:rPr>
                <w:szCs w:val="22"/>
              </w:rPr>
            </w:pPr>
            <w:r>
              <w:t>da je zbrinut na siguran način kako bi se obradio kao opasan otpad.</w:t>
            </w:r>
          </w:p>
        </w:tc>
      </w:tr>
    </w:tbl>
    <w:p w:rsidR="00D9472D" w:rsidRDefault="00D9472D">
      <w:pPr>
        <w:rPr>
          <w:b/>
          <w:sz w:val="24"/>
        </w:rPr>
      </w:pPr>
    </w:p>
    <w:p w:rsidR="00D9472D" w:rsidRDefault="002E5D08">
      <w:pPr>
        <w:pStyle w:val="Heading1"/>
      </w:pPr>
      <w:r>
        <w:t>TROŠKOVI ŽIVOTNOG VIJ</w:t>
      </w:r>
      <w:r>
        <w:t>EKA</w:t>
      </w:r>
    </w:p>
    <w:p w:rsidR="00D9472D" w:rsidRDefault="002E5D08">
      <w:pPr>
        <w:autoSpaceDE w:val="0"/>
        <w:autoSpaceDN w:val="0"/>
        <w:adjustRightInd w:val="0"/>
        <w:spacing w:before="120" w:after="120"/>
        <w:rPr>
          <w:color w:val="000000"/>
          <w:sz w:val="24"/>
        </w:rPr>
      </w:pPr>
      <w:r>
        <w:rPr>
          <w:sz w:val="24"/>
        </w:rPr>
        <w:t>U razvoju mjerila za zelenu javnu nabavu jedan od najvažnijih aspekata koji treba uzeti u obzir analiza je troškova tijekom životnog vijeka proizvoda s najboljim utjecajem na okoliš u odnosu na prosječne proizvode na tržištu. Troškovna razmatranja (pri</w:t>
      </w:r>
      <w:r>
        <w:rPr>
          <w:sz w:val="24"/>
        </w:rPr>
        <w:t xml:space="preserve">mjenom perspektive životnog vijeka) vrlo su važna za javnost jer pridonose opravdanju javne potrošnje. </w:t>
      </w:r>
      <w:r>
        <w:rPr>
          <w:color w:val="000000"/>
          <w:sz w:val="24"/>
        </w:rPr>
        <w:t>Države članice trebalo bi poticati da donose odluke koje dugoročno imaju veliku vrijednost.</w:t>
      </w:r>
    </w:p>
    <w:p w:rsidR="00D9472D" w:rsidRDefault="002E5D08">
      <w:pPr>
        <w:pStyle w:val="BodyText"/>
        <w:spacing w:after="120"/>
        <w:rPr>
          <w:rFonts w:ascii="Times New Roman" w:hAnsi="Times New Roman" w:cs="Times New Roman"/>
          <w:sz w:val="24"/>
          <w:szCs w:val="24"/>
        </w:rPr>
      </w:pPr>
      <w:r>
        <w:rPr>
          <w:rFonts w:ascii="Times New Roman" w:hAnsi="Times New Roman"/>
          <w:sz w:val="24"/>
        </w:rPr>
        <w:t>Kako bi se javnim naručiteljima omogućilo da odaberu proizvod</w:t>
      </w:r>
      <w:r>
        <w:rPr>
          <w:rFonts w:ascii="Times New Roman" w:hAnsi="Times New Roman"/>
          <w:sz w:val="24"/>
        </w:rPr>
        <w:t>e koji će biti najisplativiji, preporučuje se primjena perspektive životnog vijeka proizvoda i pristupa koji se temelji na troškovima tijekom životnog vijeka. Pristupom koji se temelji na troškovima tijekom životnog vijeka razmatra se cijeli (fizički) živo</w:t>
      </w:r>
      <w:r>
        <w:rPr>
          <w:rFonts w:ascii="Times New Roman" w:hAnsi="Times New Roman"/>
          <w:sz w:val="24"/>
        </w:rPr>
        <w:t>tni vijek proizvoda, od proizvodnje do odlaganja. Ovisno o perspektivi koja se primjeni u procjeni troškova tijekom životnog vijeka troškovi različitih faza mogu se izračunati više ili manje precizno. Za javne naručitelje važna je faza upotrebe tijekom živ</w:t>
      </w:r>
      <w:r>
        <w:rPr>
          <w:rFonts w:ascii="Times New Roman" w:hAnsi="Times New Roman"/>
          <w:sz w:val="24"/>
        </w:rPr>
        <w:t>otnog vijeka jer su to troškovi koji će nastati. Troškovi proizvodnje proizvoda koji se kupuju ne moraju se precizno izračunati jer će odgovarajući element troška za tijelo koje kupuje biti uračunat u cijenu konačnog proizvoda.</w:t>
      </w:r>
    </w:p>
    <w:p w:rsidR="00D9472D" w:rsidRDefault="002E5D08">
      <w:pPr>
        <w:pStyle w:val="BodyText"/>
        <w:spacing w:after="120"/>
        <w:rPr>
          <w:rFonts w:ascii="Times New Roman" w:hAnsi="Times New Roman" w:cs="Times New Roman"/>
          <w:sz w:val="24"/>
          <w:szCs w:val="24"/>
        </w:rPr>
      </w:pPr>
      <w:r>
        <w:rPr>
          <w:rFonts w:ascii="Times New Roman" w:hAnsi="Times New Roman"/>
          <w:sz w:val="24"/>
        </w:rPr>
        <w:t>Za rad mnogih kupljenih proi</w:t>
      </w:r>
      <w:r>
        <w:rPr>
          <w:rFonts w:ascii="Times New Roman" w:hAnsi="Times New Roman"/>
          <w:sz w:val="24"/>
        </w:rPr>
        <w:t xml:space="preserve">zvoda, kao što su računala ili pisači, potrebna je električna energija ili potrošni materijali i ti troškovi često mogu biti veći od troška početne nabave proizvoda. Za boje i lakove troškovi tijekom životnog vijeka obično nastaju samo u trenutku bojenja. </w:t>
      </w:r>
      <w:r>
        <w:rPr>
          <w:rFonts w:ascii="Times New Roman" w:hAnsi="Times New Roman"/>
          <w:sz w:val="24"/>
        </w:rPr>
        <w:t>Glavni elementi koje treba uzeti u obzir pri izračunu troškova tijekom životnog vijeka uključuju:</w:t>
      </w:r>
    </w:p>
    <w:p w:rsidR="00D9472D" w:rsidRDefault="002E5D08">
      <w:pPr>
        <w:pStyle w:val="ListBullet"/>
        <w:tabs>
          <w:tab w:val="clear" w:pos="283"/>
          <w:tab w:val="num" w:pos="0"/>
          <w:tab w:val="num" w:pos="960"/>
        </w:tabs>
        <w:spacing w:after="120"/>
        <w:ind w:left="960" w:hanging="426"/>
        <w:jc w:val="left"/>
        <w:rPr>
          <w:szCs w:val="24"/>
        </w:rPr>
      </w:pPr>
      <w:r>
        <w:t>trošak nabave i dostave (npr. trošak po litri boje ili laka kako su dostavljeni)</w:t>
      </w:r>
    </w:p>
    <w:p w:rsidR="00D9472D" w:rsidRDefault="002E5D08">
      <w:pPr>
        <w:pStyle w:val="ListBullet"/>
        <w:tabs>
          <w:tab w:val="clear" w:pos="283"/>
          <w:tab w:val="num" w:pos="0"/>
          <w:tab w:val="num" w:pos="960"/>
        </w:tabs>
        <w:spacing w:after="120"/>
        <w:ind w:left="960" w:hanging="426"/>
        <w:jc w:val="left"/>
        <w:rPr>
          <w:szCs w:val="24"/>
        </w:rPr>
      </w:pPr>
      <w:r>
        <w:t>razmazivost potrebnu za ispunjavanje kriterija učinkovitosti (npr. količina b</w:t>
      </w:r>
      <w:r>
        <w:t>oje koja je potrebna kako bi se pokrila određena površina)</w:t>
      </w:r>
    </w:p>
    <w:p w:rsidR="00D9472D" w:rsidRDefault="002E5D08">
      <w:pPr>
        <w:pStyle w:val="ListBullet"/>
        <w:tabs>
          <w:tab w:val="clear" w:pos="283"/>
          <w:tab w:val="num" w:pos="0"/>
          <w:tab w:val="num" w:pos="960"/>
        </w:tabs>
        <w:spacing w:after="120"/>
        <w:ind w:left="960" w:hanging="426"/>
        <w:jc w:val="left"/>
        <w:rPr>
          <w:szCs w:val="24"/>
        </w:rPr>
      </w:pPr>
      <w:r>
        <w:t>učinkovitost tijekom vijeka trajanja (vrijeme između ponovnih bojenja radi održavanja kriterija učinkovitosti)</w:t>
      </w:r>
    </w:p>
    <w:p w:rsidR="00D9472D" w:rsidRDefault="002E5D08">
      <w:pPr>
        <w:pStyle w:val="ListBullet"/>
        <w:tabs>
          <w:tab w:val="clear" w:pos="283"/>
          <w:tab w:val="num" w:pos="0"/>
          <w:tab w:val="num" w:pos="960"/>
        </w:tabs>
        <w:spacing w:after="120"/>
        <w:ind w:left="960" w:hanging="426"/>
        <w:jc w:val="left"/>
        <w:rPr>
          <w:szCs w:val="24"/>
        </w:rPr>
      </w:pPr>
      <w:r>
        <w:t>troškove odlaganja (odlaganje neiskorištenih boja).</w:t>
      </w:r>
    </w:p>
    <w:p w:rsidR="00D9472D" w:rsidRDefault="00D9472D">
      <w:pPr>
        <w:pStyle w:val="ListBullet"/>
        <w:numPr>
          <w:ilvl w:val="0"/>
          <w:numId w:val="0"/>
        </w:numPr>
        <w:spacing w:after="120"/>
        <w:ind w:left="283" w:hanging="283"/>
        <w:jc w:val="left"/>
        <w:rPr>
          <w:szCs w:val="24"/>
        </w:rPr>
      </w:pPr>
    </w:p>
    <w:p w:rsidR="00D9472D" w:rsidRDefault="002E5D08">
      <w:pPr>
        <w:pStyle w:val="ListBullet"/>
        <w:numPr>
          <w:ilvl w:val="0"/>
          <w:numId w:val="0"/>
        </w:numPr>
        <w:spacing w:before="120"/>
        <w:jc w:val="left"/>
        <w:rPr>
          <w:szCs w:val="24"/>
        </w:rPr>
      </w:pPr>
      <w:r>
        <w:t xml:space="preserve">Troškovi koji u teoriji mogu </w:t>
      </w:r>
      <w:r>
        <w:t>nastati, ali nisu uzeti u obzir uključuju:</w:t>
      </w:r>
    </w:p>
    <w:p w:rsidR="00D9472D" w:rsidRDefault="002E5D08">
      <w:pPr>
        <w:pStyle w:val="ListBullet"/>
        <w:tabs>
          <w:tab w:val="num" w:pos="0"/>
        </w:tabs>
        <w:spacing w:after="120"/>
        <w:ind w:left="960" w:hanging="426"/>
        <w:jc w:val="left"/>
        <w:rPr>
          <w:szCs w:val="24"/>
        </w:rPr>
      </w:pPr>
      <w:r>
        <w:t>za boje za vanjsku primjenu, promjenu u toplinskim svojstvima zgrade:</w:t>
      </w:r>
    </w:p>
    <w:p w:rsidR="00D9472D" w:rsidRDefault="002E5D08">
      <w:pPr>
        <w:pStyle w:val="BodyText"/>
        <w:numPr>
          <w:ilvl w:val="1"/>
          <w:numId w:val="27"/>
        </w:numPr>
        <w:spacing w:after="120"/>
        <w:ind w:left="1680" w:hanging="283"/>
        <w:rPr>
          <w:rFonts w:ascii="Times New Roman" w:hAnsi="Times New Roman" w:cs="Times New Roman"/>
          <w:sz w:val="24"/>
          <w:szCs w:val="24"/>
        </w:rPr>
      </w:pPr>
      <w:r>
        <w:rPr>
          <w:rFonts w:ascii="Times New Roman" w:hAnsi="Times New Roman"/>
          <w:sz w:val="24"/>
        </w:rPr>
        <w:t>odabir boje glavni je čimbenik koji utječe na toplinska svojstva</w:t>
      </w:r>
    </w:p>
    <w:p w:rsidR="00D9472D" w:rsidRDefault="002E5D08">
      <w:pPr>
        <w:pStyle w:val="ListBullet"/>
        <w:tabs>
          <w:tab w:val="num" w:pos="0"/>
        </w:tabs>
        <w:spacing w:after="120"/>
        <w:ind w:left="960" w:hanging="426"/>
        <w:jc w:val="left"/>
        <w:rPr>
          <w:szCs w:val="24"/>
        </w:rPr>
      </w:pPr>
      <w:r>
        <w:t>troškove vremena rada i troškove opreme za primjenu boje:</w:t>
      </w:r>
    </w:p>
    <w:p w:rsidR="00D9472D" w:rsidRDefault="002E5D08">
      <w:pPr>
        <w:pStyle w:val="BodyText"/>
        <w:numPr>
          <w:ilvl w:val="1"/>
          <w:numId w:val="27"/>
        </w:numPr>
        <w:spacing w:after="120"/>
        <w:ind w:left="1680" w:hanging="283"/>
        <w:rPr>
          <w:rFonts w:ascii="Times New Roman" w:hAnsi="Times New Roman" w:cs="Times New Roman"/>
          <w:sz w:val="24"/>
          <w:szCs w:val="24"/>
        </w:rPr>
      </w:pPr>
      <w:r>
        <w:rPr>
          <w:rFonts w:ascii="Times New Roman" w:hAnsi="Times New Roman"/>
          <w:sz w:val="24"/>
        </w:rPr>
        <w:t xml:space="preserve">ne bi bilo moguće </w:t>
      </w:r>
      <w:r>
        <w:rPr>
          <w:rFonts w:ascii="Times New Roman" w:hAnsi="Times New Roman"/>
          <w:sz w:val="24"/>
        </w:rPr>
        <w:t>smisleno utvrditi troškove i razlikovati proizvode na osnovi ove varijable</w:t>
      </w:r>
    </w:p>
    <w:p w:rsidR="00D9472D" w:rsidRDefault="002E5D08">
      <w:pPr>
        <w:pStyle w:val="ListBullet"/>
        <w:tabs>
          <w:tab w:val="num" w:pos="0"/>
        </w:tabs>
        <w:spacing w:after="120"/>
        <w:ind w:left="960" w:hanging="426"/>
        <w:jc w:val="left"/>
        <w:rPr>
          <w:szCs w:val="24"/>
        </w:rPr>
      </w:pPr>
      <w:r>
        <w:t>dodatne troškove odlaganja na kraju isteka životnog vijeka obojene površine:</w:t>
      </w:r>
    </w:p>
    <w:p w:rsidR="00D9472D" w:rsidRDefault="002E5D08">
      <w:pPr>
        <w:pStyle w:val="ListBullet"/>
        <w:tabs>
          <w:tab w:val="num" w:pos="0"/>
        </w:tabs>
        <w:spacing w:after="120"/>
        <w:ind w:left="960" w:hanging="426"/>
        <w:jc w:val="left"/>
        <w:rPr>
          <w:szCs w:val="24"/>
        </w:rPr>
      </w:pPr>
      <w:r>
        <w:t>nije vjerojatno da će boja koja je primijenjena utjecati na trošak odlaganja obojenih površina</w:t>
      </w:r>
    </w:p>
    <w:p w:rsidR="00D9472D" w:rsidRDefault="002E5D08">
      <w:pPr>
        <w:pStyle w:val="ListBullet"/>
        <w:tabs>
          <w:tab w:val="num" w:pos="0"/>
        </w:tabs>
        <w:spacing w:after="120"/>
        <w:ind w:left="960" w:hanging="426"/>
        <w:jc w:val="left"/>
        <w:rPr>
          <w:szCs w:val="24"/>
        </w:rPr>
      </w:pPr>
      <w:r>
        <w:t>boje za u</w:t>
      </w:r>
      <w:r>
        <w:t>nutarnju primjenu: bilo kakve uštede energije koje su posljedica svjetlije oličene sobe te time i manje potrebe za upotrebom umjetne rasvjete.</w:t>
      </w:r>
    </w:p>
    <w:p w:rsidR="00D9472D" w:rsidRDefault="002E5D08">
      <w:pPr>
        <w:pStyle w:val="BodyText"/>
        <w:rPr>
          <w:rFonts w:ascii="Times New Roman" w:hAnsi="Times New Roman" w:cs="Times New Roman"/>
          <w:sz w:val="24"/>
          <w:szCs w:val="24"/>
        </w:rPr>
      </w:pPr>
      <w:r>
        <w:rPr>
          <w:rFonts w:ascii="Times New Roman" w:hAnsi="Times New Roman"/>
          <w:sz w:val="24"/>
        </w:rPr>
        <w:t xml:space="preserve">Prethodno navedeni troškovi uključuju i troškove povezane sa zaštitom okoliša koji se obično proučavaju u okviru </w:t>
      </w:r>
      <w:r>
        <w:rPr>
          <w:rFonts w:ascii="Times New Roman" w:hAnsi="Times New Roman"/>
          <w:sz w:val="24"/>
        </w:rPr>
        <w:t>„vanjskih okolišnih čimbenika”, ali smatralo se da oni nisu relevantni za izvješće kojim se podupire razvoj mjerila za zelenu javnu nabavu te nisu uključeni u analizu. Važno je istaknuti da je u ovom kontekstu očito da pri procjeni ukupnih troškova nije do</w:t>
      </w:r>
      <w:r>
        <w:rPr>
          <w:rFonts w:ascii="Times New Roman" w:hAnsi="Times New Roman"/>
          <w:sz w:val="24"/>
        </w:rPr>
        <w:t>voljno uzeti u obzir samo oglašeni trošak po litri boje. U provedenom ispitivanju utvrđeno je da su svi čimbenici koji su ispitani (trošak nabave, razmazivost, trajnost završnog premaza i količina ostataka boje) imali veliki utjecaj na trošak tijekom život</w:t>
      </w:r>
      <w:r>
        <w:rPr>
          <w:rFonts w:ascii="Times New Roman" w:hAnsi="Times New Roman"/>
          <w:sz w:val="24"/>
        </w:rPr>
        <w:t>nog vijeka, uz iznimku troška odlaganja otpadne boje. Do većine troškova za ostatke boje došlo je zbog dodatne boje koju je trebalo nabaviti. Analiza pokazuje i da se trošak nabave ne može razmatrati izolirano te da čak i umjerena poboljšanja učinkovitosti</w:t>
      </w:r>
      <w:r>
        <w:rPr>
          <w:rFonts w:ascii="Times New Roman" w:hAnsi="Times New Roman"/>
          <w:sz w:val="24"/>
        </w:rPr>
        <w:t xml:space="preserve"> mogu nadmašiti dodatne troškove nabave skuplje boje. Dodatne pojedinosti o modeliranju troškova i zaključcima potražite u priloženom tehničkom izvješću.</w:t>
      </w:r>
    </w:p>
    <w:p w:rsidR="00D9472D" w:rsidRDefault="00D9472D">
      <w:pPr>
        <w:rPr>
          <w:sz w:val="24"/>
        </w:rPr>
      </w:pPr>
    </w:p>
    <w:p w:rsidR="00D9472D" w:rsidRDefault="002E5D08">
      <w:pPr>
        <w:pStyle w:val="BodyText"/>
        <w:rPr>
          <w:rFonts w:ascii="Times New Roman" w:hAnsi="Times New Roman" w:cs="Times New Roman"/>
          <w:sz w:val="24"/>
          <w:szCs w:val="24"/>
        </w:rPr>
      </w:pPr>
      <w:r>
        <w:rPr>
          <w:rFonts w:ascii="Times New Roman" w:hAnsi="Times New Roman"/>
          <w:sz w:val="24"/>
        </w:rPr>
        <w:t>Povrh toga, iako su kvaliteta i trošak kupljene boje ili laka bili glavni čimbenici u utvrđivanju tro</w:t>
      </w:r>
      <w:r>
        <w:rPr>
          <w:rFonts w:ascii="Times New Roman" w:hAnsi="Times New Roman"/>
          <w:sz w:val="24"/>
        </w:rPr>
        <w:t>ška životnog vijeka, ključno je uzeti u obzir utjecaj faze primjene i upotrebe. Ispravno čišćenje i prethodna obrada površina mogu znatno produljiti vijek trajanja obojene površine i biti troškovno učinkovit korak koji valja provesti. Vješti dekorateri tre</w:t>
      </w:r>
      <w:r>
        <w:rPr>
          <w:rFonts w:ascii="Times New Roman" w:hAnsi="Times New Roman"/>
          <w:sz w:val="24"/>
        </w:rPr>
        <w:t>bali bi na primjerenim površinama moći postići razmazivost koja se oglašava i nanijeti trajan završni premaz koji će dugo trajati, dok manje vješti dekorateri mogu upotrijebiti više boje nego što je potrebno i premaz možda neće trajati toliko dugo. Stoga u</w:t>
      </w:r>
      <w:r>
        <w:rPr>
          <w:rFonts w:ascii="Times New Roman" w:hAnsi="Times New Roman"/>
          <w:sz w:val="24"/>
        </w:rPr>
        <w:t>šteda na trošku rada možda neće dovesti do uštede na trošku životnog vijeka.</w:t>
      </w:r>
    </w:p>
    <w:p w:rsidR="00D9472D" w:rsidRDefault="00D9472D">
      <w:pPr>
        <w:pStyle w:val="BodyText"/>
        <w:rPr>
          <w:rFonts w:ascii="Times New Roman" w:hAnsi="Times New Roman" w:cs="Times New Roman"/>
          <w:sz w:val="24"/>
          <w:szCs w:val="24"/>
        </w:rPr>
      </w:pPr>
    </w:p>
    <w:p w:rsidR="00D9472D" w:rsidRDefault="002E5D08">
      <w:pPr>
        <w:pStyle w:val="BodyText"/>
        <w:rPr>
          <w:rFonts w:ascii="Times New Roman" w:hAnsi="Times New Roman" w:cs="Times New Roman"/>
          <w:sz w:val="24"/>
          <w:szCs w:val="24"/>
        </w:rPr>
      </w:pPr>
      <w:r>
        <w:rPr>
          <w:rFonts w:ascii="Times New Roman" w:hAnsi="Times New Roman"/>
          <w:sz w:val="24"/>
        </w:rPr>
        <w:t>Prethodno opisana opća opažanja, iako su dobivena za dekorativne boje, primjenjiva su i na oznake na kolniku, pri čemu su trajnost i vremena između ponovnog bojenja / osvježavanj</w:t>
      </w:r>
      <w:r>
        <w:rPr>
          <w:rFonts w:ascii="Times New Roman" w:hAnsi="Times New Roman"/>
          <w:sz w:val="24"/>
        </w:rPr>
        <w:t>a odrednice u ukupnom trošku životnog vijeka.</w:t>
      </w:r>
    </w:p>
    <w:p w:rsidR="00D9472D" w:rsidRDefault="00D9472D">
      <w:pPr>
        <w:rPr>
          <w:b/>
          <w:szCs w:val="22"/>
        </w:rPr>
        <w:sectPr w:rsidR="00D9472D">
          <w:headerReference w:type="even" r:id="rId65"/>
          <w:headerReference w:type="default" r:id="rId66"/>
          <w:footerReference w:type="even" r:id="rId67"/>
          <w:footerReference w:type="default" r:id="rId68"/>
          <w:headerReference w:type="first" r:id="rId69"/>
          <w:footerReference w:type="first" r:id="rId70"/>
          <w:pgSz w:w="16838" w:h="11906" w:orient="landscape"/>
          <w:pgMar w:top="1800" w:right="1440" w:bottom="1800" w:left="1440" w:header="708" w:footer="708" w:gutter="0"/>
          <w:cols w:space="708"/>
          <w:titlePg/>
          <w:docGrid w:linePitch="360"/>
        </w:sectPr>
      </w:pPr>
    </w:p>
    <w:p w:rsidR="00D9472D" w:rsidRDefault="002E5D08">
      <w:pPr>
        <w:rPr>
          <w:b/>
          <w:szCs w:val="22"/>
        </w:rPr>
      </w:pPr>
      <w:r>
        <w:rPr>
          <w:b/>
        </w:rPr>
        <w:t>Prilozi</w:t>
      </w:r>
    </w:p>
    <w:p w:rsidR="00D9472D" w:rsidRDefault="00D9472D">
      <w:pPr>
        <w:rPr>
          <w:szCs w:val="22"/>
        </w:rPr>
      </w:pPr>
    </w:p>
    <w:p w:rsidR="00D9472D" w:rsidRDefault="002E5D08">
      <w:pPr>
        <w:rPr>
          <w:b/>
          <w:szCs w:val="22"/>
        </w:rPr>
      </w:pPr>
      <w:r>
        <w:rPr>
          <w:b/>
        </w:rPr>
        <w:t>Prilog 1. Tehničke definicije povezane sa specifikacijama boja i/ili oznaka na kolniku</w:t>
      </w:r>
    </w:p>
    <w:p w:rsidR="00D9472D" w:rsidRDefault="00D9472D">
      <w:pPr>
        <w:rPr>
          <w:szCs w:val="22"/>
        </w:rPr>
      </w:pPr>
    </w:p>
    <w:p w:rsidR="00D9472D" w:rsidRDefault="002E5D08">
      <w:pPr>
        <w:pStyle w:val="Point0number"/>
        <w:rPr>
          <w:noProof/>
          <w:szCs w:val="22"/>
        </w:rPr>
      </w:pPr>
      <w:r>
        <w:t xml:space="preserve">„Bijele i svijetle </w:t>
      </w:r>
      <w:r>
        <w:t>boje” boje su s tristimulusom (Y-vrijednost) &gt; 70 %.</w:t>
      </w:r>
    </w:p>
    <w:p w:rsidR="00D9472D" w:rsidRDefault="002E5D08">
      <w:pPr>
        <w:pStyle w:val="Point0number"/>
        <w:rPr>
          <w:noProof/>
          <w:szCs w:val="22"/>
        </w:rPr>
      </w:pPr>
      <w:r>
        <w:t xml:space="preserve">„Sjajne boje” boje su koje pri upadnom kutu </w:t>
      </w:r>
      <w:r w:rsidRPr="002E5D08">
        <w:t>od 60</w:t>
      </w:r>
      <w:r w:rsidR="00F6385C" w:rsidRPr="002E5D08">
        <w:t>°</w:t>
      </w:r>
      <w:r w:rsidRPr="002E5D08">
        <w:t xml:space="preserve"> pokazuju stupanj refleksije</w:t>
      </w:r>
      <w:r>
        <w:t> ≥ 60.</w:t>
      </w:r>
    </w:p>
    <w:p w:rsidR="00D9472D" w:rsidRDefault="002E5D08">
      <w:pPr>
        <w:pStyle w:val="Point0number"/>
        <w:rPr>
          <w:noProof/>
          <w:szCs w:val="22"/>
        </w:rPr>
      </w:pPr>
      <w:r>
        <w:t xml:space="preserve">„Srednje sjajne boje” (koje se nazivaju i polusjajne, satinirane, polumat) boje su koje pri upadnom </w:t>
      </w:r>
      <w:r w:rsidRPr="002E5D08">
        <w:t>kutu od 60</w:t>
      </w:r>
      <w:r w:rsidR="00F6385C" w:rsidRPr="002E5D08">
        <w:t>°</w:t>
      </w:r>
      <w:r w:rsidRPr="002E5D08">
        <w:t xml:space="preserve"> ili 85</w:t>
      </w:r>
      <w:r w:rsidR="00F6385C" w:rsidRPr="002E5D08">
        <w:t>°</w:t>
      </w:r>
      <w:r w:rsidRPr="002E5D08">
        <w:t xml:space="preserve"> pokazuju</w:t>
      </w:r>
      <w:r>
        <w:t xml:space="preserve"> stupanj refleksije &lt; 60 i ≥ 10.</w:t>
      </w:r>
    </w:p>
    <w:p w:rsidR="00D9472D" w:rsidRDefault="002E5D08">
      <w:pPr>
        <w:pStyle w:val="Point0number"/>
        <w:rPr>
          <w:noProof/>
          <w:szCs w:val="22"/>
        </w:rPr>
      </w:pPr>
      <w:r>
        <w:t xml:space="preserve">„Mat boje” boje su koje pri upadnom kutu </w:t>
      </w:r>
      <w:r w:rsidRPr="002E5D08">
        <w:t>od 85</w:t>
      </w:r>
      <w:r w:rsidR="00F6385C" w:rsidRPr="002E5D08">
        <w:t>°</w:t>
      </w:r>
      <w:r w:rsidRPr="002E5D08">
        <w:t xml:space="preserve"> pokazuju</w:t>
      </w:r>
      <w:r>
        <w:t xml:space="preserve"> stupanj refleksije &lt; 10.</w:t>
      </w:r>
    </w:p>
    <w:p w:rsidR="00D9472D" w:rsidRDefault="002E5D08">
      <w:pPr>
        <w:pStyle w:val="Point0number"/>
        <w:rPr>
          <w:noProof/>
          <w:szCs w:val="22"/>
        </w:rPr>
      </w:pPr>
      <w:r>
        <w:t xml:space="preserve">„Jake mat boje” boje su koje pri upadnom </w:t>
      </w:r>
      <w:r w:rsidRPr="002E5D08">
        <w:t>kutu od 85</w:t>
      </w:r>
      <w:r w:rsidRPr="002E5D08">
        <w:t>°</w:t>
      </w:r>
      <w:r w:rsidRPr="002E5D08">
        <w:t xml:space="preserve"> pokazuju</w:t>
      </w:r>
      <w:r>
        <w:t xml:space="preserve"> stupanj refleksije &lt; 5.</w:t>
      </w:r>
    </w:p>
    <w:p w:rsidR="00D9472D" w:rsidRDefault="002E5D08">
      <w:pPr>
        <w:pStyle w:val="Point0number"/>
        <w:rPr>
          <w:noProof/>
          <w:szCs w:val="22"/>
        </w:rPr>
      </w:pPr>
      <w:r>
        <w:t xml:space="preserve">„Prozirni” i „poluprozirni” znači sloj s </w:t>
      </w:r>
      <w:r>
        <w:t>omjerom kontrasta &lt; 98 % pri debljini mokrog sloja od 120 μ.</w:t>
      </w:r>
    </w:p>
    <w:p w:rsidR="00D9472D" w:rsidRDefault="002E5D08">
      <w:pPr>
        <w:pStyle w:val="Point0number"/>
        <w:rPr>
          <w:noProof/>
          <w:szCs w:val="22"/>
        </w:rPr>
      </w:pPr>
      <w:r>
        <w:t xml:space="preserve">„Neprozirni” znači sloj s omjerom kontrasta &gt; 98 % pri debljini mokrog sloja od 120 μ. </w:t>
      </w:r>
    </w:p>
    <w:p w:rsidR="00D9472D" w:rsidRDefault="002E5D08">
      <w:pPr>
        <w:pStyle w:val="Point0number"/>
        <w:rPr>
          <w:noProof/>
          <w:szCs w:val="22"/>
        </w:rPr>
      </w:pPr>
      <w:r>
        <w:t>„Hlapivi organski spojevi” (HOS-ovi) z</w:t>
      </w:r>
      <w:bookmarkStart w:id="1" w:name="_GoBack"/>
      <w:bookmarkEnd w:id="1"/>
      <w:r>
        <w:t>nači svi organski spojevi čija je početna točka vrelišta niža ili jed</w:t>
      </w:r>
      <w:r>
        <w:t>naka 250 °C, izmjereno pri standardnom tlaku od 101,3 kPa, kako su definirani u Direktivi 2004/42/EZ te koji u kapilarnoj koloni eluiraju do n-tetradekana i uključujući n-tetradekan (C14H30).</w:t>
      </w:r>
    </w:p>
    <w:p w:rsidR="00D9472D" w:rsidRDefault="002E5D08">
      <w:pPr>
        <w:pStyle w:val="Point0number"/>
        <w:rPr>
          <w:noProof/>
          <w:szCs w:val="22"/>
        </w:rPr>
      </w:pPr>
      <w:r>
        <w:t>„Poluhlapivi organski spojevi” (PHOS-ovi) znači svi organski spo</w:t>
      </w:r>
      <w:r>
        <w:t>jevi čija je točka vrelišta viša od 250 °C i niža od 370 °C, izmjereno pri standardnom tlaku od 101,3 kPa, te koji u kapilarnoj koloni eluiraju u retencijskom rasponu nakon n-tetradekana (C14H30) do n-dokosana i uključujući n-dokosan (C22H46).</w:t>
      </w:r>
    </w:p>
    <w:p w:rsidR="00D9472D" w:rsidRDefault="00D9472D">
      <w:pPr>
        <w:rPr>
          <w:szCs w:val="22"/>
        </w:rPr>
      </w:pPr>
    </w:p>
    <w:p w:rsidR="00D9472D" w:rsidRDefault="00D9472D">
      <w:pPr>
        <w:rPr>
          <w:szCs w:val="22"/>
        </w:rPr>
      </w:pPr>
    </w:p>
    <w:p w:rsidR="00D9472D" w:rsidRDefault="00D9472D">
      <w:pPr>
        <w:jc w:val="left"/>
        <w:rPr>
          <w:b/>
          <w:szCs w:val="22"/>
        </w:rPr>
        <w:sectPr w:rsidR="00D9472D">
          <w:headerReference w:type="even" r:id="rId71"/>
          <w:headerReference w:type="default" r:id="rId72"/>
          <w:footerReference w:type="even" r:id="rId73"/>
          <w:footerReference w:type="default" r:id="rId74"/>
          <w:headerReference w:type="first" r:id="rId75"/>
          <w:footerReference w:type="first" r:id="rId76"/>
          <w:pgSz w:w="16838" w:h="11906" w:orient="landscape"/>
          <w:pgMar w:top="1800" w:right="1440" w:bottom="1800" w:left="1440" w:header="708" w:footer="708" w:gutter="0"/>
          <w:cols w:space="708"/>
          <w:titlePg/>
          <w:docGrid w:linePitch="360"/>
        </w:sectPr>
      </w:pPr>
    </w:p>
    <w:p w:rsidR="00D9472D" w:rsidRDefault="002E5D08">
      <w:pPr>
        <w:rPr>
          <w:b/>
          <w:szCs w:val="22"/>
        </w:rPr>
      </w:pPr>
      <w:r>
        <w:rPr>
          <w:b/>
        </w:rPr>
        <w:t>Prilog 2. Ispitivanje formaldehida</w:t>
      </w:r>
    </w:p>
    <w:p w:rsidR="00D9472D" w:rsidRDefault="00D9472D">
      <w:pPr>
        <w:rPr>
          <w:szCs w:val="22"/>
        </w:rPr>
      </w:pPr>
    </w:p>
    <w:tbl>
      <w:tblPr>
        <w:tblW w:w="14155" w:type="dxa"/>
        <w:tblBorders>
          <w:bottom w:val="single" w:sz="4" w:space="0" w:color="auto"/>
          <w:insideH w:val="single" w:sz="4" w:space="0" w:color="C0C0C0"/>
          <w:insideV w:val="single" w:sz="4" w:space="0" w:color="C0C0C0"/>
        </w:tblBorders>
        <w:shd w:val="clear" w:color="auto" w:fill="FFFFFF" w:themeFill="background1"/>
        <w:tblCellMar>
          <w:top w:w="29" w:type="dxa"/>
          <w:left w:w="115" w:type="dxa"/>
          <w:bottom w:w="29" w:type="dxa"/>
          <w:right w:w="115" w:type="dxa"/>
        </w:tblCellMar>
        <w:tblLook w:val="01E0" w:firstRow="1" w:lastRow="1" w:firstColumn="1" w:lastColumn="1" w:noHBand="0" w:noVBand="0"/>
      </w:tblPr>
      <w:tblGrid>
        <w:gridCol w:w="3943"/>
        <w:gridCol w:w="10212"/>
      </w:tblGrid>
      <w:tr w:rsidR="00D9472D">
        <w:trPr>
          <w:trHeight w:val="179"/>
        </w:trPr>
        <w:tc>
          <w:tcPr>
            <w:tcW w:w="3943" w:type="dxa"/>
            <w:tcBorders>
              <w:top w:val="single" w:sz="8" w:space="0" w:color="auto"/>
              <w:left w:val="single" w:sz="8" w:space="0" w:color="000000" w:themeColor="text1"/>
              <w:bottom w:val="single" w:sz="8" w:space="0" w:color="auto"/>
              <w:right w:val="single" w:sz="8" w:space="0" w:color="000000" w:themeColor="text1"/>
            </w:tcBorders>
            <w:shd w:val="clear" w:color="auto" w:fill="FFFFFF" w:themeFill="background1"/>
          </w:tcPr>
          <w:p w:rsidR="00D9472D" w:rsidRDefault="002E5D08">
            <w:pPr>
              <w:spacing w:after="60"/>
              <w:jc w:val="left"/>
              <w:rPr>
                <w:b/>
                <w:iCs/>
              </w:rPr>
            </w:pPr>
            <w:r>
              <w:rPr>
                <w:b/>
              </w:rPr>
              <w:t>Zahtjev</w:t>
            </w:r>
          </w:p>
        </w:tc>
        <w:tc>
          <w:tcPr>
            <w:tcW w:w="10212" w:type="dxa"/>
            <w:tcBorders>
              <w:top w:val="single" w:sz="8" w:space="0" w:color="auto"/>
              <w:left w:val="single" w:sz="8" w:space="0" w:color="000000" w:themeColor="text1"/>
              <w:bottom w:val="single" w:sz="8" w:space="0" w:color="auto"/>
              <w:right w:val="single" w:sz="8" w:space="0" w:color="000000" w:themeColor="text1"/>
            </w:tcBorders>
            <w:shd w:val="clear" w:color="auto" w:fill="FFFFFF" w:themeFill="background1"/>
          </w:tcPr>
          <w:p w:rsidR="00D9472D" w:rsidRDefault="002E5D08">
            <w:pPr>
              <w:spacing w:after="60"/>
              <w:jc w:val="left"/>
              <w:rPr>
                <w:b/>
                <w:iCs/>
              </w:rPr>
            </w:pPr>
            <w:r>
              <w:rPr>
                <w:b/>
              </w:rPr>
              <w:t>Metoda za izvješće</w:t>
            </w:r>
          </w:p>
        </w:tc>
      </w:tr>
      <w:tr w:rsidR="00D9472D">
        <w:trPr>
          <w:trHeight w:val="686"/>
        </w:trPr>
        <w:tc>
          <w:tcPr>
            <w:tcW w:w="3943" w:type="dxa"/>
            <w:tcBorders>
              <w:top w:val="single" w:sz="8" w:space="0" w:color="auto"/>
              <w:left w:val="single" w:sz="8" w:space="0" w:color="000000" w:themeColor="text1"/>
              <w:bottom w:val="single" w:sz="4" w:space="0" w:color="auto"/>
              <w:right w:val="single" w:sz="8" w:space="0" w:color="000000" w:themeColor="text1"/>
            </w:tcBorders>
            <w:shd w:val="clear" w:color="auto" w:fill="FFFFFF" w:themeFill="background1"/>
          </w:tcPr>
          <w:p w:rsidR="00D9472D" w:rsidRDefault="002E5D08">
            <w:pPr>
              <w:spacing w:after="60"/>
              <w:rPr>
                <w:iCs/>
              </w:rPr>
            </w:pPr>
            <w:r>
              <w:t xml:space="preserve">Primjenjuje se ukupno ograničenje formaldehida od 0,0010 % masenog udjela osim ako se primjenjuje odstupanje (vidjeti sljedeći redak). </w:t>
            </w:r>
          </w:p>
        </w:tc>
        <w:tc>
          <w:tcPr>
            <w:tcW w:w="10212" w:type="dxa"/>
            <w:tcBorders>
              <w:top w:val="single" w:sz="8" w:space="0" w:color="auto"/>
              <w:left w:val="single" w:sz="8" w:space="0" w:color="000000" w:themeColor="text1"/>
              <w:bottom w:val="single" w:sz="4" w:space="0" w:color="auto"/>
              <w:right w:val="single" w:sz="8" w:space="0" w:color="000000" w:themeColor="text1"/>
            </w:tcBorders>
            <w:shd w:val="clear" w:color="auto" w:fill="FFFFFF" w:themeFill="background1"/>
            <w:vAlign w:val="center"/>
          </w:tcPr>
          <w:p w:rsidR="00D9472D" w:rsidRDefault="002E5D08">
            <w:pPr>
              <w:spacing w:after="60"/>
              <w:jc w:val="left"/>
              <w:rPr>
                <w:iCs/>
              </w:rPr>
            </w:pPr>
            <w:r>
              <w:t>Primjenjuje se metoda Merckoquant. Ako rezultat nije jasan, upotrebljava se metoda tekućinske kromatografije visoke djel</w:t>
            </w:r>
            <w:r>
              <w:t>otvornosti (HPLC) kako bi se potvrdila koncentracija u gotovim proizvodima.</w:t>
            </w:r>
          </w:p>
        </w:tc>
      </w:tr>
      <w:tr w:rsidR="00D9472D">
        <w:trPr>
          <w:trHeight w:val="1000"/>
        </w:trPr>
        <w:tc>
          <w:tcPr>
            <w:tcW w:w="3943" w:type="dxa"/>
            <w:vMerge w:val="restart"/>
            <w:tcBorders>
              <w:top w:val="single" w:sz="4" w:space="0" w:color="auto"/>
              <w:left w:val="single" w:sz="8" w:space="0" w:color="000000" w:themeColor="text1"/>
              <w:right w:val="single" w:sz="8" w:space="0" w:color="000000" w:themeColor="text1"/>
            </w:tcBorders>
            <w:shd w:val="clear" w:color="auto" w:fill="FFFFFF" w:themeFill="background1"/>
          </w:tcPr>
          <w:p w:rsidR="00D9472D" w:rsidRDefault="002E5D08">
            <w:pPr>
              <w:spacing w:after="60"/>
              <w:rPr>
                <w:iCs/>
              </w:rPr>
            </w:pPr>
            <w:r>
              <w:t>Viša granična vrijednost za formaldehid od 0,010 % masenog udjela primjenjuje se:</w:t>
            </w:r>
          </w:p>
          <w:p w:rsidR="00D9472D" w:rsidRDefault="00D9472D">
            <w:pPr>
              <w:spacing w:after="60"/>
              <w:rPr>
                <w:iCs/>
                <w:sz w:val="12"/>
                <w:szCs w:val="12"/>
              </w:rPr>
            </w:pPr>
          </w:p>
          <w:p w:rsidR="00D9472D" w:rsidRDefault="002E5D08" w:rsidP="00F6385C">
            <w:pPr>
              <w:pStyle w:val="ListParagraph"/>
              <w:numPr>
                <w:ilvl w:val="0"/>
                <w:numId w:val="16"/>
              </w:numPr>
              <w:spacing w:after="60"/>
              <w:ind w:left="284" w:hanging="284"/>
              <w:contextualSpacing/>
              <w:jc w:val="center"/>
              <w:rPr>
                <w:iCs/>
              </w:rPr>
            </w:pPr>
            <w:r>
              <w:t xml:space="preserve">ako su konzervansi koji su donori formaldehida neophodni za primjenu kao konzervansi za gotove proizvode radi zaštite određene vrste boje ili laka te ako se donor formaldehida upotrebljava umjesto konzervansa </w:t>
            </w:r>
            <w:proofErr w:type="spellStart"/>
            <w:r>
              <w:t>izotiazolinona</w:t>
            </w:r>
            <w:proofErr w:type="spellEnd"/>
          </w:p>
          <w:p w:rsidR="00D9472D" w:rsidRDefault="00D9472D">
            <w:pPr>
              <w:pStyle w:val="ListParagraph"/>
              <w:spacing w:after="60"/>
              <w:ind w:left="284"/>
              <w:contextualSpacing/>
              <w:jc w:val="left"/>
              <w:rPr>
                <w:iCs/>
              </w:rPr>
            </w:pPr>
          </w:p>
          <w:p w:rsidR="00D9472D" w:rsidRDefault="002E5D08" w:rsidP="00F6385C">
            <w:pPr>
              <w:pStyle w:val="ListParagraph"/>
              <w:numPr>
                <w:ilvl w:val="0"/>
                <w:numId w:val="16"/>
              </w:numPr>
              <w:spacing w:after="60"/>
              <w:ind w:left="284" w:hanging="284"/>
              <w:contextualSpacing/>
              <w:jc w:val="center"/>
              <w:rPr>
                <w:iCs/>
              </w:rPr>
            </w:pPr>
            <w:r>
              <w:t>ako polimerne disperzije (vezi</w:t>
            </w:r>
            <w:r>
              <w:t>va), putem rezidualnih razina formaldehida, djeluju kao donori formaldehida umjesto konzervansa za gotove proizvode.</w:t>
            </w:r>
          </w:p>
        </w:tc>
        <w:tc>
          <w:tcPr>
            <w:tcW w:w="10212" w:type="dxa"/>
            <w:tcBorders>
              <w:top w:val="single" w:sz="4" w:space="0" w:color="auto"/>
              <w:left w:val="single" w:sz="8" w:space="0" w:color="000000" w:themeColor="text1"/>
              <w:bottom w:val="single" w:sz="4" w:space="0" w:color="auto"/>
              <w:right w:val="single" w:sz="8" w:space="0" w:color="000000" w:themeColor="text1"/>
            </w:tcBorders>
            <w:shd w:val="clear" w:color="auto" w:fill="FFFFFF" w:themeFill="background1"/>
            <w:vAlign w:val="center"/>
          </w:tcPr>
          <w:p w:rsidR="00D9472D" w:rsidRDefault="002E5D08">
            <w:pPr>
              <w:spacing w:after="60"/>
              <w:jc w:val="left"/>
            </w:pPr>
            <w:r>
              <w:t xml:space="preserve">Određivanje koncentracije formaldehida u gotovom proizvodu analizom uz primjenu metode VdL-RL 03 ili tekućinske kromatografije visoke </w:t>
            </w:r>
            <w:r>
              <w:t>djelotvornosti (HPLC).</w:t>
            </w:r>
          </w:p>
        </w:tc>
      </w:tr>
      <w:tr w:rsidR="00D9472D">
        <w:trPr>
          <w:trHeight w:val="2467"/>
        </w:trPr>
        <w:tc>
          <w:tcPr>
            <w:tcW w:w="3943" w:type="dxa"/>
            <w:vMerge/>
            <w:tcBorders>
              <w:left w:val="single" w:sz="8" w:space="0" w:color="000000" w:themeColor="text1"/>
              <w:right w:val="single" w:sz="8" w:space="0" w:color="000000" w:themeColor="text1"/>
            </w:tcBorders>
            <w:shd w:val="clear" w:color="auto" w:fill="FFFFFF" w:themeFill="background1"/>
          </w:tcPr>
          <w:p w:rsidR="00D9472D" w:rsidRDefault="00D9472D">
            <w:pPr>
              <w:pStyle w:val="Default"/>
              <w:rPr>
                <w:sz w:val="20"/>
                <w:szCs w:val="20"/>
              </w:rPr>
            </w:pPr>
          </w:p>
        </w:tc>
        <w:tc>
          <w:tcPr>
            <w:tcW w:w="10212" w:type="dxa"/>
            <w:tcBorders>
              <w:top w:val="single" w:sz="4" w:space="0" w:color="auto"/>
              <w:left w:val="single" w:sz="8" w:space="0" w:color="000000" w:themeColor="text1"/>
              <w:bottom w:val="single" w:sz="4" w:space="0" w:color="auto"/>
              <w:right w:val="single" w:sz="8" w:space="0" w:color="000000" w:themeColor="text1"/>
            </w:tcBorders>
            <w:shd w:val="clear" w:color="auto" w:fill="FFFFFF" w:themeFill="background1"/>
            <w:vAlign w:val="center"/>
          </w:tcPr>
          <w:p w:rsidR="00D9472D" w:rsidRDefault="002E5D08">
            <w:pPr>
              <w:spacing w:after="60"/>
              <w:jc w:val="left"/>
            </w:pPr>
            <w:r>
              <w:t>Boje i lakovi za unutarnju primjenu: utvrđivanje analizom</w:t>
            </w:r>
            <w:r>
              <w:rPr>
                <w:vertAlign w:val="superscript"/>
              </w:rPr>
              <w:t>1</w:t>
            </w:r>
            <w:r>
              <w:t xml:space="preserve"> u skladu s normom ISO 16000-3. Emisije ne smiju prelaziti 0,25 ppm nakon prve primjene te moraju biti manje od 0,05 ppm nakon što prođu 24 sata od prve primjene. </w:t>
            </w:r>
          </w:p>
          <w:p w:rsidR="00D9472D" w:rsidRDefault="002E5D08">
            <w:pPr>
              <w:spacing w:after="60"/>
              <w:jc w:val="left"/>
              <w:rPr>
                <w:iCs/>
              </w:rPr>
            </w:pPr>
            <w:r>
              <w:t>Prvom se primjenom smatra kada se u ispitnoj komori postigne stabilno miješanje zraka. Preporučuje se da se stabilno miješanje zraka može postići nakon sat vremena s pomoću ventilatora.</w:t>
            </w:r>
          </w:p>
          <w:p w:rsidR="00D9472D" w:rsidRDefault="002E5D08">
            <w:pPr>
              <w:spacing w:after="60"/>
              <w:jc w:val="left"/>
              <w:rPr>
                <w:iCs/>
              </w:rPr>
            </w:pPr>
            <w:r>
              <w:t>U svim se slučajevima rezultati ispravljaju dijeljenjem s 2 kako bi od</w:t>
            </w:r>
            <w:r>
              <w:t>ražavali stopu ventilacije od 1,0 izmjene zraka po satu.  Time se osigurava da rezultati odražavaju uvjete u komori koji se upotrebljavaju u normi EN 717-1 i koji čine osnovu za pragove emisija.</w:t>
            </w:r>
          </w:p>
          <w:p w:rsidR="00D9472D" w:rsidRDefault="00D9472D">
            <w:pPr>
              <w:spacing w:after="60"/>
              <w:jc w:val="left"/>
              <w:rPr>
                <w:iCs/>
              </w:rPr>
            </w:pPr>
          </w:p>
        </w:tc>
      </w:tr>
    </w:tbl>
    <w:p w:rsidR="00D9472D" w:rsidRDefault="002E5D08">
      <w:pPr>
        <w:rPr>
          <w:b/>
          <w:szCs w:val="22"/>
          <w:highlight w:val="yellow"/>
        </w:rPr>
        <w:sectPr w:rsidR="00D9472D">
          <w:headerReference w:type="even" r:id="rId77"/>
          <w:headerReference w:type="default" r:id="rId78"/>
          <w:footerReference w:type="even" r:id="rId79"/>
          <w:footerReference w:type="default" r:id="rId80"/>
          <w:headerReference w:type="first" r:id="rId81"/>
          <w:footerReference w:type="first" r:id="rId82"/>
          <w:pgSz w:w="16838" w:h="11906" w:orient="landscape"/>
          <w:pgMar w:top="1800" w:right="1440" w:bottom="1800" w:left="1440" w:header="708" w:footer="708" w:gutter="0"/>
          <w:cols w:space="708"/>
          <w:titlePg/>
          <w:docGrid w:linePitch="360"/>
        </w:sectPr>
      </w:pPr>
      <w:r>
        <w:rPr>
          <w:vertAlign w:val="superscript"/>
        </w:rPr>
        <w:t>1</w:t>
      </w:r>
      <w:r>
        <w:t>Mogu se upotrebljavati i postojeće jednakovrijedne norme, osobito norma CEN/TS 16516 koja je namijenjena da zamjeni seriju ISO 16000.</w:t>
      </w:r>
    </w:p>
    <w:p w:rsidR="00D9472D" w:rsidRDefault="002E5D08">
      <w:pPr>
        <w:rPr>
          <w:b/>
          <w:szCs w:val="22"/>
        </w:rPr>
      </w:pPr>
      <w:r>
        <w:rPr>
          <w:b/>
        </w:rPr>
        <w:t>Prilog 3. Markeri za metodu ispitivanja poluhlapivih organskih sp</w:t>
      </w:r>
      <w:r>
        <w:rPr>
          <w:b/>
        </w:rPr>
        <w:t xml:space="preserve">ojeva i izmjene </w:t>
      </w:r>
    </w:p>
    <w:p w:rsidR="00D9472D" w:rsidRDefault="00D9472D">
      <w:pPr>
        <w:rPr>
          <w:b/>
          <w:szCs w:val="22"/>
          <w:highlight w:val="yellow"/>
        </w:rPr>
      </w:pPr>
    </w:p>
    <w:p w:rsidR="00D9472D" w:rsidRDefault="002E5D08">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b/>
          <w:i/>
        </w:rPr>
      </w:pPr>
      <w:r>
        <w:rPr>
          <w:b/>
          <w:i/>
        </w:rPr>
        <w:t>Smjernice za utvrđivanje poluhlapivih organskih spojeva (PHOS-ova) primjenom norme ISO 11890-2 (2013.) (proširenje područja primjene)</w:t>
      </w:r>
    </w:p>
    <w:p w:rsidR="00D9472D" w:rsidRDefault="002E5D08">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i/>
        </w:rPr>
      </w:pPr>
      <w:r>
        <w:rPr>
          <w:b/>
          <w:i/>
        </w:rPr>
        <w:t>Područje primjene</w:t>
      </w:r>
      <w:r>
        <w:rPr>
          <w:i/>
        </w:rPr>
        <w:t>:</w:t>
      </w:r>
    </w:p>
    <w:p w:rsidR="00D9472D" w:rsidRDefault="002E5D08">
      <w:pPr>
        <w:pBdr>
          <w:top w:val="single" w:sz="4" w:space="1" w:color="auto"/>
          <w:left w:val="single" w:sz="4" w:space="4" w:color="auto"/>
          <w:bottom w:val="single" w:sz="4" w:space="1" w:color="auto"/>
          <w:right w:val="single" w:sz="4" w:space="4" w:color="auto"/>
        </w:pBdr>
        <w:autoSpaceDE w:val="0"/>
        <w:autoSpaceDN w:val="0"/>
        <w:adjustRightInd w:val="0"/>
        <w:spacing w:before="120" w:after="240"/>
        <w:rPr>
          <w:i/>
        </w:rPr>
      </w:pPr>
      <w:r>
        <w:rPr>
          <w:i/>
        </w:rPr>
        <w:t xml:space="preserve">U ovim se smjernicama tumače specifikacije norme ISO 11890-2 kako bi se omogućilo provođenje ispitivanja za kvantifikaciju udjela poluhlapivih organskih spojeva samostalno ili zajedno s ispitivanjem hlapivih organskih spojeva u skladu s normom ISO 11890-2 </w:t>
      </w:r>
      <w:r>
        <w:rPr>
          <w:i/>
        </w:rPr>
        <w:t>radi procjene usklađenosti sa zahtjevima za dodjelu znaka za okoliš EU-a. Smjernice se stoga trebaju tumačiti zajedno s normom ISO 11890-2, ali tako da se prednost daje utvrđenoj izmijenjenoj pripremi uzorka, aparaturi i parametrima.</w:t>
      </w:r>
    </w:p>
    <w:p w:rsidR="00D9472D" w:rsidRDefault="002E5D08">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i/>
        </w:rPr>
      </w:pPr>
      <w:r>
        <w:rPr>
          <w:b/>
          <w:i/>
        </w:rPr>
        <w:t>Priprema uzorka</w:t>
      </w:r>
      <w:r>
        <w:rPr>
          <w:i/>
        </w:rPr>
        <w:t>:</w:t>
      </w:r>
    </w:p>
    <w:p w:rsidR="00D9472D" w:rsidRDefault="002E5D08">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i/>
        </w:rPr>
      </w:pPr>
      <w:r>
        <w:rPr>
          <w:i/>
        </w:rPr>
        <w:t>Upotr</w:t>
      </w:r>
      <w:r>
        <w:rPr>
          <w:i/>
        </w:rPr>
        <w:t xml:space="preserve">ebljava se organsko otapalo primjereno za razrjeđivanje uzorka. Mora biti barem 99-postotne čistoće prema masenom udjelu. Preporučuje se upotreba 100-postotnog metanola kao otapala za razrjeđivanje. Uzorak se po potrebi može miješati 30 minuta uz primjenu </w:t>
      </w:r>
      <w:r>
        <w:rPr>
          <w:i/>
        </w:rPr>
        <w:t>ultrazvuka kako bi se dobila homogena tekuća faza ili se može mehanički miješati dva sata nakon čega slijedi korak centrifuge ili filtracije upotrebom filtra s PTFE membranom za boje koje sadržavaju velike neotopljene čestice. Ako se homogena tekuća faza n</w:t>
      </w:r>
      <w:r>
        <w:rPr>
          <w:i/>
        </w:rPr>
        <w:t xml:space="preserve">e može postići upotrebom 100-postotnog metanola, upotrebljava se drugo primjereno otapalo za razrjeđivanje, kao što je acetonitril ili tetrahidrofuran.  </w:t>
      </w:r>
    </w:p>
    <w:p w:rsidR="00D9472D" w:rsidRDefault="002E5D08">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i/>
          <w:sz w:val="18"/>
          <w:szCs w:val="18"/>
        </w:rPr>
      </w:pPr>
      <w:r>
        <w:rPr>
          <w:i/>
          <w:sz w:val="18"/>
        </w:rPr>
        <w:t>Napomena:</w:t>
      </w:r>
    </w:p>
    <w:p w:rsidR="00D9472D" w:rsidRDefault="002E5D08">
      <w:pPr>
        <w:pBdr>
          <w:top w:val="single" w:sz="4" w:space="1" w:color="auto"/>
          <w:left w:val="single" w:sz="4" w:space="4" w:color="auto"/>
          <w:bottom w:val="single" w:sz="4" w:space="1" w:color="auto"/>
          <w:right w:val="single" w:sz="4" w:space="4" w:color="auto"/>
        </w:pBdr>
        <w:autoSpaceDE w:val="0"/>
        <w:autoSpaceDN w:val="0"/>
        <w:adjustRightInd w:val="0"/>
        <w:spacing w:before="120" w:after="240"/>
        <w:rPr>
          <w:i/>
          <w:sz w:val="18"/>
          <w:szCs w:val="18"/>
        </w:rPr>
      </w:pPr>
      <w:r>
        <w:rPr>
          <w:i/>
          <w:sz w:val="18"/>
        </w:rPr>
        <w:t>Upotrebljavaju se spojevi markera n-tetradekan (n-C14) i n-dokosan (n-C22). Možda će se mora</w:t>
      </w:r>
      <w:r>
        <w:rPr>
          <w:i/>
          <w:sz w:val="18"/>
        </w:rPr>
        <w:t>ti pripremiti otopina markera koja sadržava te spojeve u acetonu zbog ograničene topljivosti n-dokosana u acetonitrilu.</w:t>
      </w:r>
    </w:p>
    <w:p w:rsidR="00D9472D" w:rsidRDefault="002E5D08">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i/>
        </w:rPr>
      </w:pPr>
      <w:r>
        <w:rPr>
          <w:b/>
          <w:i/>
        </w:rPr>
        <w:t>Aparatura</w:t>
      </w:r>
      <w:r>
        <w:rPr>
          <w:i/>
        </w:rPr>
        <w:t>:</w:t>
      </w:r>
    </w:p>
    <w:p w:rsidR="00D9472D" w:rsidRDefault="002E5D08">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i/>
        </w:rPr>
      </w:pPr>
      <w:r>
        <w:rPr>
          <w:i/>
        </w:rPr>
        <w:t xml:space="preserve">Kapilarna kolona: </w:t>
      </w:r>
    </w:p>
    <w:p w:rsidR="00D9472D" w:rsidRDefault="002E5D08">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i/>
        </w:rPr>
      </w:pPr>
      <w:r>
        <w:rPr>
          <w:i/>
        </w:rPr>
        <w:t>– Najpoželjnija je upotreba kvarcne kolone obložene slojem koji se sastoji od 5 % fenila i 95 % dimetil po</w:t>
      </w:r>
      <w:r>
        <w:rPr>
          <w:i/>
        </w:rPr>
        <w:t>lisiloksana (lagano polarni tip, DB5 ili jednakovrijedna).</w:t>
      </w:r>
    </w:p>
    <w:p w:rsidR="00D9472D" w:rsidRDefault="002E5D08">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i/>
        </w:rPr>
      </w:pPr>
      <w:r>
        <w:rPr>
          <w:i/>
        </w:rPr>
        <w:t>– Može se upotrijebiti i kolona obložena slojem od 100-postotnog dimetil polisiloksana (nepolarni tip, DB1 ili jednakovrijedna) ako se može pokazati da je ona učinkovitija za pretežno nepolarne sas</w:t>
      </w:r>
      <w:r>
        <w:rPr>
          <w:i/>
        </w:rPr>
        <w:t xml:space="preserve">tojke boje.  </w:t>
      </w:r>
    </w:p>
    <w:p w:rsidR="00D9472D" w:rsidRDefault="002E5D08">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i/>
          <w:sz w:val="18"/>
          <w:szCs w:val="18"/>
        </w:rPr>
      </w:pPr>
      <w:r>
        <w:rPr>
          <w:i/>
          <w:sz w:val="18"/>
        </w:rPr>
        <w:t>Napomena:</w:t>
      </w:r>
    </w:p>
    <w:p w:rsidR="00D9472D" w:rsidRDefault="002E5D08">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i/>
          <w:sz w:val="18"/>
          <w:szCs w:val="18"/>
        </w:rPr>
      </w:pPr>
      <w:r>
        <w:rPr>
          <w:i/>
          <w:sz w:val="18"/>
        </w:rPr>
        <w:t>Odabire se primjerena kombinacija duljine (30 m ili 60 m), promjera i temperaturnog programa tako da sastojci u uzorku i markeri eluiraju prema redoslijedu koji odgovara povećanju njihovih točaka vrelišta. Može se upotrijebiti dulji</w:t>
      </w:r>
      <w:r>
        <w:rPr>
          <w:i/>
          <w:sz w:val="18"/>
        </w:rPr>
        <w:t>na kolone od 60 m kako bi se poboljšao redoslijed eluiranja za lagano polaran tip kolone.</w:t>
      </w:r>
    </w:p>
    <w:p w:rsidR="00D9472D" w:rsidRDefault="002E5D08">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i/>
        </w:rPr>
      </w:pPr>
      <w:r>
        <w:rPr>
          <w:i/>
        </w:rPr>
        <w:t>Peć:</w:t>
      </w:r>
    </w:p>
    <w:p w:rsidR="00D9472D" w:rsidRDefault="002E5D08">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i/>
        </w:rPr>
      </w:pPr>
      <w:r>
        <w:rPr>
          <w:i/>
        </w:rPr>
        <w:t xml:space="preserve">– Početna temperatura peći: </w:t>
      </w:r>
      <w:r>
        <w:tab/>
      </w:r>
      <w:r>
        <w:tab/>
      </w:r>
      <w:r>
        <w:rPr>
          <w:i/>
        </w:rPr>
        <w:t>od 40 do 100 °C</w:t>
      </w:r>
    </w:p>
    <w:p w:rsidR="00D9472D" w:rsidRDefault="002E5D08">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i/>
        </w:rPr>
      </w:pPr>
      <w:r>
        <w:rPr>
          <w:i/>
        </w:rPr>
        <w:t xml:space="preserve">– Vrijeme zadržavanja u izotermičkim uvjetima: </w:t>
      </w:r>
      <w:r>
        <w:tab/>
      </w:r>
      <w:r>
        <w:tab/>
      </w:r>
      <w:r>
        <w:rPr>
          <w:i/>
        </w:rPr>
        <w:t>od 2 do 5 min</w:t>
      </w:r>
    </w:p>
    <w:p w:rsidR="00D9472D" w:rsidRDefault="002E5D08">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i/>
        </w:rPr>
      </w:pPr>
      <w:r>
        <w:rPr>
          <w:i/>
        </w:rPr>
        <w:t xml:space="preserve">– Stopa zagrijavanja: </w:t>
      </w:r>
      <w:r>
        <w:tab/>
      </w:r>
      <w:r>
        <w:tab/>
      </w:r>
      <w:r>
        <w:tab/>
      </w:r>
      <w:r>
        <w:tab/>
      </w:r>
      <w:r>
        <w:rPr>
          <w:i/>
        </w:rPr>
        <w:t>od 3 do 20 °C/min</w:t>
      </w:r>
    </w:p>
    <w:p w:rsidR="00D9472D" w:rsidRDefault="002E5D08">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i/>
        </w:rPr>
      </w:pPr>
      <w:r>
        <w:rPr>
          <w:i/>
        </w:rPr>
        <w:t xml:space="preserve">– Završna temperatura peći: </w:t>
      </w:r>
      <w:r>
        <w:tab/>
      </w:r>
      <w:r>
        <w:tab/>
      </w:r>
      <w:r>
        <w:tab/>
      </w:r>
      <w:r>
        <w:rPr>
          <w:i/>
        </w:rPr>
        <w:t>od 280 do 325 °C</w:t>
      </w:r>
    </w:p>
    <w:p w:rsidR="00D9472D" w:rsidRDefault="002E5D08">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i/>
        </w:rPr>
      </w:pPr>
      <w:r>
        <w:rPr>
          <w:i/>
        </w:rPr>
        <w:t xml:space="preserve">– Vrijeme zadržavanja u izotermičkim uvjetima: </w:t>
      </w:r>
      <w:r>
        <w:tab/>
      </w:r>
      <w:r>
        <w:tab/>
      </w:r>
      <w:r>
        <w:rPr>
          <w:i/>
        </w:rPr>
        <w:t>&gt; 2 min</w:t>
      </w:r>
    </w:p>
    <w:p w:rsidR="00D9472D" w:rsidRDefault="002E5D08">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i/>
        </w:rPr>
      </w:pPr>
      <w:r>
        <w:rPr>
          <w:i/>
        </w:rPr>
        <w:t>– Protok u koloni:</w:t>
      </w:r>
      <w:r>
        <w:tab/>
      </w:r>
      <w:r>
        <w:tab/>
      </w:r>
      <w:r>
        <w:tab/>
      </w:r>
      <w:r>
        <w:rPr>
          <w:i/>
        </w:rPr>
        <w:t>od 1 do 2 ml/min</w:t>
      </w:r>
    </w:p>
    <w:p w:rsidR="00D9472D" w:rsidRDefault="002E5D08">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i/>
        </w:rPr>
      </w:pPr>
      <w:r>
        <w:rPr>
          <w:i/>
        </w:rPr>
        <w:t xml:space="preserve">Detektor: </w:t>
      </w:r>
    </w:p>
    <w:p w:rsidR="00D9472D" w:rsidRDefault="002E5D08">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i/>
        </w:rPr>
      </w:pPr>
      <w:r>
        <w:rPr>
          <w:i/>
        </w:rPr>
        <w:t>– Identifikacija masenim spektrometrom</w:t>
      </w:r>
    </w:p>
    <w:p w:rsidR="00D9472D" w:rsidRDefault="002E5D08">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i/>
        </w:rPr>
      </w:pPr>
      <w:r>
        <w:rPr>
          <w:i/>
        </w:rPr>
        <w:t>– Kvantifikacija plameno-ionizacijskim detektorom (FID)</w:t>
      </w:r>
    </w:p>
    <w:p w:rsidR="00D9472D" w:rsidRDefault="002E5D08">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i/>
        </w:rPr>
      </w:pPr>
      <w:r>
        <w:rPr>
          <w:i/>
        </w:rPr>
        <w:t xml:space="preserve">– Temperatura plameno-ionizacijskog detektora: </w:t>
      </w:r>
      <w:r>
        <w:tab/>
      </w:r>
      <w:r>
        <w:tab/>
      </w:r>
      <w:r>
        <w:rPr>
          <w:i/>
        </w:rPr>
        <w:t>završna temperatura peći ili viša</w:t>
      </w:r>
    </w:p>
    <w:p w:rsidR="00D9472D" w:rsidRDefault="002E5D08">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i/>
        </w:rPr>
      </w:pPr>
      <w:r>
        <w:rPr>
          <w:i/>
        </w:rPr>
        <w:t xml:space="preserve">Plin nosač: </w:t>
      </w:r>
    </w:p>
    <w:p w:rsidR="00D9472D" w:rsidRDefault="002E5D08">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i/>
        </w:rPr>
      </w:pPr>
      <w:r>
        <w:rPr>
          <w:i/>
        </w:rPr>
        <w:t>– helij</w:t>
      </w:r>
    </w:p>
    <w:p w:rsidR="00D9472D" w:rsidRDefault="002E5D08">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i/>
        </w:rPr>
      </w:pPr>
      <w:r>
        <w:rPr>
          <w:i/>
        </w:rPr>
        <w:t xml:space="preserve">Sustav za vruće ubrizgavanje: </w:t>
      </w:r>
    </w:p>
    <w:p w:rsidR="00D9472D" w:rsidRDefault="002E5D08">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i/>
        </w:rPr>
      </w:pPr>
      <w:r>
        <w:rPr>
          <w:i/>
        </w:rPr>
        <w:t>– temperatura ubrizgivača:</w:t>
      </w:r>
      <w:r>
        <w:tab/>
      </w:r>
      <w:r>
        <w:tab/>
      </w:r>
      <w:r>
        <w:tab/>
      </w:r>
      <w:r>
        <w:rPr>
          <w:i/>
        </w:rPr>
        <w:t>od 250 do 280 °C</w:t>
      </w:r>
    </w:p>
    <w:p w:rsidR="00D9472D" w:rsidRDefault="002E5D08">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i/>
        </w:rPr>
      </w:pPr>
      <w:r>
        <w:rPr>
          <w:i/>
        </w:rPr>
        <w:t xml:space="preserve">– volumen za ubrizgavanje: </w:t>
      </w:r>
      <w:r>
        <w:tab/>
      </w:r>
      <w:r>
        <w:tab/>
      </w:r>
      <w:r>
        <w:tab/>
      </w:r>
      <w:r>
        <w:rPr>
          <w:i/>
        </w:rPr>
        <w:t>od 1 do 2 µl</w:t>
      </w:r>
    </w:p>
    <w:p w:rsidR="00D9472D" w:rsidRDefault="002E5D08">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i/>
        </w:rPr>
      </w:pPr>
      <w:r>
        <w:rPr>
          <w:i/>
        </w:rPr>
        <w:t>Kalibracija:</w:t>
      </w:r>
    </w:p>
    <w:p w:rsidR="00D9472D" w:rsidRDefault="002E5D08">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i/>
        </w:rPr>
      </w:pPr>
      <w:r>
        <w:rPr>
          <w:i/>
        </w:rPr>
        <w:t>– n-tetradekan (n-C</w:t>
      </w:r>
      <w:r>
        <w:rPr>
          <w:i/>
        </w:rPr>
        <w:t xml:space="preserve">14) preporučeni je interni standard za kvantifikaciju kromatografskih krivulja poluhlapivih organskih spojeva </w:t>
      </w:r>
    </w:p>
    <w:p w:rsidR="00D9472D" w:rsidRDefault="002E5D08">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i/>
        </w:rPr>
      </w:pPr>
      <w:r>
        <w:rPr>
          <w:i/>
        </w:rPr>
        <w:t>– može se upotrijebiti i alternativni interni standard, 1,2-dietoksietan (koji se naziva i etilen glikol dietil eter) kako bi se postigle bolje v</w:t>
      </w:r>
      <w:r>
        <w:rPr>
          <w:i/>
        </w:rPr>
        <w:t>rijednosti obnavljanja pri analizi boja na bazi vode.</w:t>
      </w:r>
    </w:p>
    <w:p w:rsidR="00D9472D" w:rsidRDefault="00D9472D">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i/>
          <w:sz w:val="18"/>
          <w:szCs w:val="18"/>
        </w:rPr>
        <w:sectPr w:rsidR="00D9472D">
          <w:headerReference w:type="even" r:id="rId83"/>
          <w:headerReference w:type="default" r:id="rId84"/>
          <w:footerReference w:type="even" r:id="rId85"/>
          <w:footerReference w:type="default" r:id="rId86"/>
          <w:headerReference w:type="first" r:id="rId87"/>
          <w:footerReference w:type="first" r:id="rId88"/>
          <w:pgSz w:w="16838" w:h="11906" w:orient="landscape"/>
          <w:pgMar w:top="1797" w:right="1440" w:bottom="1797" w:left="1440" w:header="709" w:footer="709" w:gutter="0"/>
          <w:cols w:space="708"/>
          <w:titlePg/>
          <w:docGrid w:linePitch="360"/>
        </w:sectPr>
      </w:pPr>
    </w:p>
    <w:p w:rsidR="00D9472D" w:rsidRDefault="002E5D08">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i/>
          <w:sz w:val="18"/>
          <w:szCs w:val="18"/>
        </w:rPr>
      </w:pPr>
      <w:r>
        <w:rPr>
          <w:i/>
          <w:sz w:val="18"/>
        </w:rPr>
        <w:t xml:space="preserve">Napomena: </w:t>
      </w:r>
    </w:p>
    <w:p w:rsidR="00D9472D" w:rsidRDefault="002E5D08">
      <w:pPr>
        <w:pBdr>
          <w:top w:val="single" w:sz="4" w:space="1" w:color="auto"/>
          <w:left w:val="single" w:sz="4" w:space="4" w:color="auto"/>
          <w:bottom w:val="single" w:sz="4" w:space="1" w:color="auto"/>
          <w:right w:val="single" w:sz="4" w:space="4" w:color="auto"/>
        </w:pBdr>
        <w:autoSpaceDE w:val="0"/>
        <w:autoSpaceDN w:val="0"/>
        <w:adjustRightInd w:val="0"/>
        <w:spacing w:before="120" w:after="240"/>
        <w:rPr>
          <w:i/>
          <w:sz w:val="18"/>
          <w:szCs w:val="18"/>
        </w:rPr>
      </w:pPr>
      <w:r>
        <w:rPr>
          <w:i/>
          <w:sz w:val="18"/>
        </w:rPr>
        <w:t>Ako se postupci kalibracije obavljaju na odgovarajući način, odabir unutarnjeg standarda ne bi trebao utjecati na rezultate ispitivanja. Međutim, važno je osigurati da se interni standard ne preklapa s kromatografskim krivuljama i da ne sakrije krivulje ko</w:t>
      </w:r>
      <w:r>
        <w:rPr>
          <w:i/>
          <w:sz w:val="18"/>
        </w:rPr>
        <w:t>je proizlaze iz samog uzorka. Stoga mora biti potpuno odvojen od drugih kromatografskih krivulja na kromatogramu. Stoga je moguć velik broj internih standarda, ali moraju se isključiti standardi s vrlo niskim točkama vrelišta (npr. aceton...) ili vrlo viso</w:t>
      </w:r>
      <w:r>
        <w:rPr>
          <w:i/>
          <w:sz w:val="18"/>
        </w:rPr>
        <w:t xml:space="preserve">kim točkama vrelišta (C22 i više...) kako bi se izbjegla bilo kakva diskriminirajuća pojava u ubrizgivaču. </w:t>
      </w:r>
    </w:p>
    <w:p w:rsidR="00D9472D" w:rsidRDefault="002E5D08">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i/>
        </w:rPr>
      </w:pPr>
      <w:r>
        <w:rPr>
          <w:i/>
        </w:rPr>
        <w:t>– Moraju se identificirati svi poluhlapivi organski spojevi u mjeri u kojoj je to moguće i zatim se obavlja kvantifikacija s pomoću njihovih kalibra</w:t>
      </w:r>
      <w:r>
        <w:rPr>
          <w:i/>
        </w:rPr>
        <w:t>cijskih standarda, kako je utvrđeno za hlapive organske spojeve u normi ISO 11890-2, ili preko njihovih relativnih faktora odgovora.</w:t>
      </w:r>
    </w:p>
    <w:p w:rsidR="00D9472D" w:rsidRDefault="002E5D08">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i/>
        </w:rPr>
      </w:pPr>
      <w:r>
        <w:rPr>
          <w:i/>
        </w:rPr>
        <w:t>– Preostale nepoznate kromatografske krivulje poluhlapivih organskih spojeva kvantificiraju se s pomoću faktora odgovora di</w:t>
      </w:r>
      <w:r>
        <w:rPr>
          <w:i/>
        </w:rPr>
        <w:t>etil adipata, izraženo u ekvivalentima dietil adipata.</w:t>
      </w:r>
    </w:p>
    <w:p w:rsidR="00D9472D" w:rsidRDefault="00D9472D">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i/>
        </w:rPr>
      </w:pPr>
    </w:p>
    <w:p w:rsidR="00D9472D" w:rsidRDefault="002E5D08">
      <w:pPr>
        <w:pBdr>
          <w:top w:val="single" w:sz="4" w:space="1" w:color="auto"/>
          <w:left w:val="single" w:sz="4" w:space="4" w:color="auto"/>
          <w:bottom w:val="single" w:sz="4" w:space="1" w:color="auto"/>
          <w:right w:val="single" w:sz="4" w:space="4" w:color="auto"/>
        </w:pBdr>
        <w:autoSpaceDE w:val="0"/>
        <w:autoSpaceDN w:val="0"/>
        <w:adjustRightInd w:val="0"/>
        <w:spacing w:before="120" w:after="120"/>
        <w:rPr>
          <w:i/>
        </w:rPr>
      </w:pPr>
      <w:r>
        <w:rPr>
          <w:i/>
        </w:rPr>
        <w:t>Norma ISO 11890-2 vjerojatno će biti revidirana tijekom razdoblja valjanosti mjerila te će se proširiti njezino područje primjene tako da se uključi i metoda ispitivanja za poluhlapive organske spojev</w:t>
      </w:r>
      <w:r>
        <w:rPr>
          <w:i/>
        </w:rPr>
        <w:t>e. Ove se smjernice stoga upotrebljavaju privremeno do revidiranja norme.</w:t>
      </w:r>
    </w:p>
    <w:p w:rsidR="00D9472D" w:rsidRDefault="00D9472D">
      <w:pPr>
        <w:rPr>
          <w:szCs w:val="22"/>
          <w:highlight w:val="yellow"/>
        </w:rPr>
      </w:pPr>
    </w:p>
    <w:p w:rsidR="00D9472D" w:rsidRDefault="00D9472D">
      <w:pPr>
        <w:rPr>
          <w:i/>
          <w:szCs w:val="22"/>
          <w:highlight w:val="yellow"/>
        </w:rPr>
      </w:pPr>
    </w:p>
    <w:p w:rsidR="00D9472D" w:rsidRDefault="00D9472D">
      <w:pPr>
        <w:jc w:val="left"/>
        <w:rPr>
          <w:szCs w:val="22"/>
        </w:rPr>
        <w:sectPr w:rsidR="00D9472D">
          <w:headerReference w:type="even" r:id="rId89"/>
          <w:headerReference w:type="default" r:id="rId90"/>
          <w:footerReference w:type="even" r:id="rId91"/>
          <w:footerReference w:type="default" r:id="rId92"/>
          <w:headerReference w:type="first" r:id="rId93"/>
          <w:footerReference w:type="first" r:id="rId94"/>
          <w:pgSz w:w="16838" w:h="11906" w:orient="landscape"/>
          <w:pgMar w:top="1797" w:right="1440" w:bottom="1797" w:left="1440" w:header="709" w:footer="709" w:gutter="0"/>
          <w:cols w:space="708"/>
          <w:titlePg/>
          <w:docGrid w:linePitch="360"/>
        </w:sectPr>
      </w:pPr>
    </w:p>
    <w:p w:rsidR="00D9472D" w:rsidRDefault="002E5D08">
      <w:pPr>
        <w:jc w:val="left"/>
        <w:rPr>
          <w:b/>
          <w:szCs w:val="22"/>
        </w:rPr>
      </w:pPr>
      <w:r>
        <w:rPr>
          <w:b/>
        </w:rPr>
        <w:t>Prilog 4. Izuzeti spojevi</w:t>
      </w:r>
    </w:p>
    <w:p w:rsidR="00D9472D" w:rsidRDefault="00D9472D">
      <w:pPr>
        <w:spacing w:beforeLines="40" w:before="96" w:afterLines="40" w:after="96"/>
        <w:contextualSpacing/>
        <w:rPr>
          <w:b/>
          <w:szCs w:val="22"/>
        </w:rPr>
      </w:pPr>
    </w:p>
    <w:p w:rsidR="00D9472D" w:rsidRDefault="00D9472D">
      <w:pPr>
        <w:spacing w:beforeLines="40" w:before="96" w:afterLines="40" w:after="96"/>
        <w:contextualSpacing/>
        <w:rPr>
          <w:b/>
          <w:szCs w:val="22"/>
        </w:rPr>
        <w:sectPr w:rsidR="00D9472D">
          <w:headerReference w:type="even" r:id="rId95"/>
          <w:headerReference w:type="default" r:id="rId96"/>
          <w:footerReference w:type="even" r:id="rId97"/>
          <w:footerReference w:type="default" r:id="rId98"/>
          <w:headerReference w:type="first" r:id="rId99"/>
          <w:footerReference w:type="first" r:id="rId100"/>
          <w:pgSz w:w="16838" w:h="11906" w:orient="landscape"/>
          <w:pgMar w:top="1797" w:right="1440" w:bottom="1797" w:left="1440" w:header="709" w:footer="709" w:gutter="0"/>
          <w:cols w:space="708"/>
          <w:titlePg/>
          <w:docGrid w:linePitch="360"/>
        </w:sectPr>
      </w:pPr>
    </w:p>
    <w:p w:rsidR="00D9472D" w:rsidRDefault="002E5D08">
      <w:pPr>
        <w:pStyle w:val="ListParagraph"/>
        <w:numPr>
          <w:ilvl w:val="0"/>
          <w:numId w:val="18"/>
        </w:numPr>
        <w:spacing w:beforeLines="40" w:before="96" w:afterLines="40" w:after="96"/>
        <w:contextualSpacing/>
        <w:rPr>
          <w:szCs w:val="22"/>
        </w:rPr>
      </w:pPr>
      <w:r>
        <w:t>metan</w:t>
      </w:r>
    </w:p>
    <w:p w:rsidR="00D9472D" w:rsidRDefault="002E5D08">
      <w:pPr>
        <w:pStyle w:val="ListParagraph"/>
        <w:numPr>
          <w:ilvl w:val="0"/>
          <w:numId w:val="18"/>
        </w:numPr>
        <w:spacing w:beforeLines="40" w:before="96" w:afterLines="40" w:after="96"/>
        <w:contextualSpacing/>
        <w:rPr>
          <w:szCs w:val="22"/>
        </w:rPr>
      </w:pPr>
      <w:r>
        <w:t xml:space="preserve">etan </w:t>
      </w:r>
    </w:p>
    <w:p w:rsidR="00D9472D" w:rsidRDefault="002E5D08">
      <w:pPr>
        <w:pStyle w:val="ListParagraph"/>
        <w:numPr>
          <w:ilvl w:val="0"/>
          <w:numId w:val="18"/>
        </w:numPr>
        <w:spacing w:beforeLines="40" w:before="96" w:afterLines="40" w:after="96"/>
        <w:contextualSpacing/>
        <w:rPr>
          <w:szCs w:val="22"/>
        </w:rPr>
      </w:pPr>
      <w:r>
        <w:t>metilen klorid (diklorometan)</w:t>
      </w:r>
    </w:p>
    <w:p w:rsidR="00D9472D" w:rsidRDefault="002E5D08">
      <w:pPr>
        <w:pStyle w:val="ListParagraph"/>
        <w:numPr>
          <w:ilvl w:val="0"/>
          <w:numId w:val="18"/>
        </w:numPr>
        <w:spacing w:beforeLines="40" w:before="96" w:afterLines="40" w:after="96"/>
        <w:contextualSpacing/>
        <w:rPr>
          <w:szCs w:val="22"/>
        </w:rPr>
      </w:pPr>
      <w:r>
        <w:t xml:space="preserve">1,1,1-trikloretan (metil kloroform) </w:t>
      </w:r>
    </w:p>
    <w:p w:rsidR="00D9472D" w:rsidRDefault="002E5D08">
      <w:pPr>
        <w:pStyle w:val="ListParagraph"/>
        <w:numPr>
          <w:ilvl w:val="0"/>
          <w:numId w:val="18"/>
        </w:numPr>
        <w:spacing w:beforeLines="40" w:before="96" w:afterLines="40" w:after="96"/>
        <w:contextualSpacing/>
        <w:rPr>
          <w:szCs w:val="22"/>
        </w:rPr>
      </w:pPr>
      <w:r>
        <w:t xml:space="preserve">1,1,2-trikloro-1,2,2-trifluoretan(CFC-113) </w:t>
      </w:r>
    </w:p>
    <w:p w:rsidR="00D9472D" w:rsidRDefault="002E5D08">
      <w:pPr>
        <w:pStyle w:val="ListParagraph"/>
        <w:numPr>
          <w:ilvl w:val="0"/>
          <w:numId w:val="18"/>
        </w:numPr>
        <w:spacing w:beforeLines="40" w:before="96" w:afterLines="40" w:after="96"/>
        <w:contextualSpacing/>
        <w:rPr>
          <w:szCs w:val="22"/>
        </w:rPr>
      </w:pPr>
      <w:r>
        <w:t xml:space="preserve">triklorofluormetan (CFC-11) </w:t>
      </w:r>
    </w:p>
    <w:p w:rsidR="00D9472D" w:rsidRDefault="002E5D08">
      <w:pPr>
        <w:pStyle w:val="ListParagraph"/>
        <w:numPr>
          <w:ilvl w:val="0"/>
          <w:numId w:val="18"/>
        </w:numPr>
        <w:spacing w:beforeLines="40" w:before="96" w:afterLines="40" w:after="96"/>
        <w:contextualSpacing/>
        <w:rPr>
          <w:szCs w:val="22"/>
        </w:rPr>
      </w:pPr>
      <w:r>
        <w:t xml:space="preserve">diklorodifluormetan (CFC-12) </w:t>
      </w:r>
    </w:p>
    <w:p w:rsidR="00D9472D" w:rsidRDefault="002E5D08">
      <w:pPr>
        <w:pStyle w:val="ListParagraph"/>
        <w:numPr>
          <w:ilvl w:val="0"/>
          <w:numId w:val="18"/>
        </w:numPr>
        <w:spacing w:beforeLines="40" w:before="96" w:afterLines="40" w:after="96"/>
        <w:contextualSpacing/>
        <w:rPr>
          <w:szCs w:val="22"/>
        </w:rPr>
      </w:pPr>
      <w:r>
        <w:t xml:space="preserve">klordifluormetan (HCFC-22) </w:t>
      </w:r>
    </w:p>
    <w:p w:rsidR="00D9472D" w:rsidRDefault="002E5D08">
      <w:pPr>
        <w:pStyle w:val="ListParagraph"/>
        <w:numPr>
          <w:ilvl w:val="0"/>
          <w:numId w:val="18"/>
        </w:numPr>
        <w:spacing w:beforeLines="40" w:before="96" w:afterLines="40" w:after="96"/>
        <w:contextualSpacing/>
        <w:rPr>
          <w:szCs w:val="22"/>
        </w:rPr>
      </w:pPr>
      <w:r>
        <w:t xml:space="preserve">trifluormetan (HFC-23) </w:t>
      </w:r>
    </w:p>
    <w:p w:rsidR="00D9472D" w:rsidRDefault="002E5D08">
      <w:pPr>
        <w:pStyle w:val="ListParagraph"/>
        <w:numPr>
          <w:ilvl w:val="0"/>
          <w:numId w:val="18"/>
        </w:numPr>
        <w:spacing w:beforeLines="40" w:before="96" w:afterLines="40" w:after="96"/>
        <w:contextualSpacing/>
        <w:rPr>
          <w:szCs w:val="22"/>
        </w:rPr>
      </w:pPr>
      <w:r>
        <w:t xml:space="preserve">1,2-dikloro-1,1,2,2-tetrafluoretan (CFC-114) </w:t>
      </w:r>
    </w:p>
    <w:p w:rsidR="00D9472D" w:rsidRDefault="002E5D08">
      <w:pPr>
        <w:pStyle w:val="ListParagraph"/>
        <w:numPr>
          <w:ilvl w:val="0"/>
          <w:numId w:val="18"/>
        </w:numPr>
        <w:spacing w:beforeLines="40" w:before="96" w:afterLines="40" w:after="96"/>
        <w:contextualSpacing/>
        <w:rPr>
          <w:szCs w:val="22"/>
        </w:rPr>
      </w:pPr>
      <w:r>
        <w:t xml:space="preserve">klorpentafluoretan (CFC-115) </w:t>
      </w:r>
    </w:p>
    <w:p w:rsidR="00D9472D" w:rsidRDefault="002E5D08">
      <w:pPr>
        <w:pStyle w:val="ListParagraph"/>
        <w:numPr>
          <w:ilvl w:val="0"/>
          <w:numId w:val="18"/>
        </w:numPr>
        <w:spacing w:beforeLines="40" w:before="96" w:afterLines="40" w:after="96"/>
        <w:contextualSpacing/>
        <w:rPr>
          <w:szCs w:val="22"/>
        </w:rPr>
      </w:pPr>
      <w:r>
        <w:t xml:space="preserve">1,1,1-trifluoro-2,2-dikloretan (HCFC-123) </w:t>
      </w:r>
    </w:p>
    <w:p w:rsidR="00D9472D" w:rsidRDefault="002E5D08">
      <w:pPr>
        <w:pStyle w:val="ListParagraph"/>
        <w:numPr>
          <w:ilvl w:val="0"/>
          <w:numId w:val="18"/>
        </w:numPr>
        <w:spacing w:beforeLines="40" w:before="96" w:afterLines="40" w:after="96"/>
        <w:contextualSpacing/>
        <w:rPr>
          <w:szCs w:val="22"/>
        </w:rPr>
      </w:pPr>
      <w:r>
        <w:t xml:space="preserve">1,1,1,2-tetrafluoretan (HFC-134a) </w:t>
      </w:r>
    </w:p>
    <w:p w:rsidR="00D9472D" w:rsidRDefault="002E5D08">
      <w:pPr>
        <w:pStyle w:val="ListParagraph"/>
        <w:numPr>
          <w:ilvl w:val="0"/>
          <w:numId w:val="18"/>
        </w:numPr>
        <w:spacing w:beforeLines="40" w:before="96" w:afterLines="40" w:after="96"/>
        <w:contextualSpacing/>
        <w:rPr>
          <w:szCs w:val="22"/>
        </w:rPr>
      </w:pPr>
      <w:r>
        <w:t xml:space="preserve">1,1-dikloro-1-fluoretan (HCFC-141b) </w:t>
      </w:r>
    </w:p>
    <w:p w:rsidR="00D9472D" w:rsidRDefault="002E5D08">
      <w:pPr>
        <w:pStyle w:val="ListParagraph"/>
        <w:numPr>
          <w:ilvl w:val="0"/>
          <w:numId w:val="18"/>
        </w:numPr>
        <w:spacing w:beforeLines="40" w:before="96" w:afterLines="40" w:after="96"/>
        <w:contextualSpacing/>
        <w:rPr>
          <w:szCs w:val="22"/>
        </w:rPr>
      </w:pPr>
      <w:r>
        <w:t>1-klor-1,1-di</w:t>
      </w:r>
      <w:r>
        <w:t xml:space="preserve">fluoretan (HCFC-142b) </w:t>
      </w:r>
    </w:p>
    <w:p w:rsidR="00D9472D" w:rsidRDefault="002E5D08">
      <w:pPr>
        <w:pStyle w:val="ListParagraph"/>
        <w:numPr>
          <w:ilvl w:val="0"/>
          <w:numId w:val="18"/>
        </w:numPr>
        <w:spacing w:beforeLines="40" w:before="96" w:afterLines="40" w:after="96"/>
        <w:contextualSpacing/>
        <w:rPr>
          <w:szCs w:val="22"/>
        </w:rPr>
      </w:pPr>
      <w:r>
        <w:t xml:space="preserve">2-klor-1,1,1,2-tetrafluoretan (HCFC-124) </w:t>
      </w:r>
    </w:p>
    <w:p w:rsidR="00D9472D" w:rsidRDefault="002E5D08">
      <w:pPr>
        <w:pStyle w:val="ListParagraph"/>
        <w:numPr>
          <w:ilvl w:val="0"/>
          <w:numId w:val="18"/>
        </w:numPr>
        <w:spacing w:beforeLines="40" w:before="96" w:afterLines="40" w:after="96"/>
        <w:contextualSpacing/>
        <w:rPr>
          <w:szCs w:val="22"/>
        </w:rPr>
      </w:pPr>
      <w:r>
        <w:t xml:space="preserve">pentafluoretan (HFC-125) </w:t>
      </w:r>
    </w:p>
    <w:p w:rsidR="00D9472D" w:rsidRDefault="002E5D08">
      <w:pPr>
        <w:pStyle w:val="ListParagraph"/>
        <w:numPr>
          <w:ilvl w:val="0"/>
          <w:numId w:val="18"/>
        </w:numPr>
        <w:spacing w:beforeLines="40" w:before="96" w:afterLines="40" w:after="96"/>
        <w:contextualSpacing/>
        <w:rPr>
          <w:szCs w:val="22"/>
        </w:rPr>
      </w:pPr>
      <w:r>
        <w:t xml:space="preserve">1,1,2,2-tetrafluoretan (HFC-134) </w:t>
      </w:r>
    </w:p>
    <w:p w:rsidR="00D9472D" w:rsidRDefault="002E5D08">
      <w:pPr>
        <w:pStyle w:val="ListParagraph"/>
        <w:numPr>
          <w:ilvl w:val="0"/>
          <w:numId w:val="18"/>
        </w:numPr>
        <w:spacing w:beforeLines="40" w:before="96" w:afterLines="40" w:after="96"/>
        <w:contextualSpacing/>
        <w:rPr>
          <w:szCs w:val="22"/>
        </w:rPr>
      </w:pPr>
      <w:r>
        <w:t xml:space="preserve">1,1,1-trifluoretan (HFC-143a) </w:t>
      </w:r>
    </w:p>
    <w:p w:rsidR="00D9472D" w:rsidRDefault="002E5D08">
      <w:pPr>
        <w:pStyle w:val="ListParagraph"/>
        <w:numPr>
          <w:ilvl w:val="0"/>
          <w:numId w:val="18"/>
        </w:numPr>
        <w:spacing w:beforeLines="40" w:before="96" w:afterLines="40" w:after="96"/>
        <w:contextualSpacing/>
        <w:rPr>
          <w:szCs w:val="22"/>
        </w:rPr>
      </w:pPr>
      <w:r>
        <w:t xml:space="preserve">1,1-difluoretan (HFC-152a) </w:t>
      </w:r>
    </w:p>
    <w:p w:rsidR="00D9472D" w:rsidRDefault="002E5D08">
      <w:pPr>
        <w:pStyle w:val="ListParagraph"/>
        <w:numPr>
          <w:ilvl w:val="0"/>
          <w:numId w:val="18"/>
        </w:numPr>
        <w:spacing w:beforeLines="40" w:before="96" w:afterLines="40" w:after="96"/>
        <w:contextualSpacing/>
        <w:rPr>
          <w:szCs w:val="22"/>
        </w:rPr>
      </w:pPr>
      <w:r>
        <w:t xml:space="preserve">paraklorobenzotrifluorid (PCBTF) </w:t>
      </w:r>
    </w:p>
    <w:p w:rsidR="00D9472D" w:rsidRDefault="002E5D08">
      <w:pPr>
        <w:pStyle w:val="ListParagraph"/>
        <w:numPr>
          <w:ilvl w:val="0"/>
          <w:numId w:val="18"/>
        </w:numPr>
        <w:spacing w:beforeLines="40" w:before="96" w:afterLines="40" w:after="96"/>
        <w:contextualSpacing/>
        <w:rPr>
          <w:szCs w:val="22"/>
        </w:rPr>
      </w:pPr>
      <w:r>
        <w:t xml:space="preserve">ciklički, </w:t>
      </w:r>
    </w:p>
    <w:p w:rsidR="00D9472D" w:rsidRDefault="002E5D08">
      <w:pPr>
        <w:pStyle w:val="ListParagraph"/>
        <w:numPr>
          <w:ilvl w:val="0"/>
          <w:numId w:val="18"/>
        </w:numPr>
        <w:spacing w:beforeLines="40" w:before="96" w:afterLines="40" w:after="96"/>
        <w:contextualSpacing/>
        <w:rPr>
          <w:szCs w:val="22"/>
        </w:rPr>
      </w:pPr>
      <w:r>
        <w:t xml:space="preserve">razgranati ili linearni potpuno metilirani siloksani </w:t>
      </w:r>
    </w:p>
    <w:p w:rsidR="00D9472D" w:rsidRDefault="002E5D08">
      <w:pPr>
        <w:pStyle w:val="ListParagraph"/>
        <w:numPr>
          <w:ilvl w:val="0"/>
          <w:numId w:val="18"/>
        </w:numPr>
        <w:spacing w:beforeLines="40" w:before="96" w:afterLines="40" w:after="96"/>
        <w:contextualSpacing/>
        <w:rPr>
          <w:szCs w:val="22"/>
        </w:rPr>
      </w:pPr>
      <w:r>
        <w:t xml:space="preserve">aceton </w:t>
      </w:r>
    </w:p>
    <w:p w:rsidR="00D9472D" w:rsidRDefault="002E5D08">
      <w:pPr>
        <w:pStyle w:val="ListParagraph"/>
        <w:numPr>
          <w:ilvl w:val="0"/>
          <w:numId w:val="18"/>
        </w:numPr>
        <w:spacing w:beforeLines="40" w:before="96" w:afterLines="40" w:after="96"/>
        <w:contextualSpacing/>
        <w:rPr>
          <w:szCs w:val="22"/>
        </w:rPr>
      </w:pPr>
      <w:r>
        <w:t xml:space="preserve">perkloretilen (tetrakloretilen) </w:t>
      </w:r>
    </w:p>
    <w:p w:rsidR="00D9472D" w:rsidRDefault="002E5D08">
      <w:pPr>
        <w:pStyle w:val="ListParagraph"/>
        <w:numPr>
          <w:ilvl w:val="0"/>
          <w:numId w:val="18"/>
        </w:numPr>
        <w:spacing w:beforeLines="40" w:before="96" w:afterLines="40" w:after="96"/>
        <w:contextualSpacing/>
        <w:rPr>
          <w:szCs w:val="22"/>
        </w:rPr>
      </w:pPr>
      <w:r>
        <w:t xml:space="preserve">3,3-dikloro-1,1,1,2,2-pentafluorpropan (HCFC-225ca) </w:t>
      </w:r>
    </w:p>
    <w:p w:rsidR="00D9472D" w:rsidRDefault="002E5D08">
      <w:pPr>
        <w:pStyle w:val="ListParagraph"/>
        <w:numPr>
          <w:ilvl w:val="0"/>
          <w:numId w:val="18"/>
        </w:numPr>
        <w:spacing w:beforeLines="40" w:before="96" w:afterLines="40" w:after="96"/>
        <w:contextualSpacing/>
        <w:rPr>
          <w:szCs w:val="22"/>
        </w:rPr>
      </w:pPr>
      <w:r>
        <w:t xml:space="preserve">1,3-dikloro-1,1,2,2,3-pentafluorpropan (HCFC-225cb) </w:t>
      </w:r>
    </w:p>
    <w:p w:rsidR="00D9472D" w:rsidRDefault="002E5D08">
      <w:pPr>
        <w:pStyle w:val="ListParagraph"/>
        <w:numPr>
          <w:ilvl w:val="0"/>
          <w:numId w:val="18"/>
        </w:numPr>
        <w:spacing w:beforeLines="40" w:before="96" w:afterLines="40" w:after="96"/>
        <w:contextualSpacing/>
        <w:rPr>
          <w:szCs w:val="22"/>
        </w:rPr>
      </w:pPr>
      <w:r>
        <w:t xml:space="preserve">1,1,1,2,3,4,4,5,5,5-dekafluorpentan (HFC 43-10mee) </w:t>
      </w:r>
    </w:p>
    <w:p w:rsidR="00D9472D" w:rsidRDefault="002E5D08">
      <w:pPr>
        <w:pStyle w:val="ListParagraph"/>
        <w:numPr>
          <w:ilvl w:val="0"/>
          <w:numId w:val="18"/>
        </w:numPr>
        <w:spacing w:beforeLines="40" w:before="96" w:afterLines="40" w:after="96"/>
        <w:contextualSpacing/>
        <w:rPr>
          <w:szCs w:val="22"/>
        </w:rPr>
      </w:pPr>
      <w:r>
        <w:t>dif</w:t>
      </w:r>
      <w:r>
        <w:t xml:space="preserve">luormetan (HFC-32) </w:t>
      </w:r>
    </w:p>
    <w:p w:rsidR="00D9472D" w:rsidRDefault="002E5D08">
      <w:pPr>
        <w:pStyle w:val="ListParagraph"/>
        <w:numPr>
          <w:ilvl w:val="0"/>
          <w:numId w:val="18"/>
        </w:numPr>
        <w:spacing w:beforeLines="40" w:before="96" w:afterLines="40" w:after="96"/>
        <w:contextualSpacing/>
        <w:rPr>
          <w:szCs w:val="22"/>
        </w:rPr>
      </w:pPr>
      <w:r>
        <w:t xml:space="preserve">etilfluorid (HFC-161) </w:t>
      </w:r>
    </w:p>
    <w:p w:rsidR="00D9472D" w:rsidRDefault="002E5D08">
      <w:pPr>
        <w:pStyle w:val="ListParagraph"/>
        <w:numPr>
          <w:ilvl w:val="0"/>
          <w:numId w:val="18"/>
        </w:numPr>
        <w:spacing w:beforeLines="40" w:before="96" w:afterLines="40" w:after="96"/>
        <w:contextualSpacing/>
        <w:rPr>
          <w:szCs w:val="22"/>
        </w:rPr>
      </w:pPr>
      <w:r>
        <w:t xml:space="preserve">1,1,1,3,3,3-heksafluorpropan (HFC-236fa) </w:t>
      </w:r>
    </w:p>
    <w:p w:rsidR="00D9472D" w:rsidRDefault="002E5D08">
      <w:pPr>
        <w:pStyle w:val="ListParagraph"/>
        <w:numPr>
          <w:ilvl w:val="0"/>
          <w:numId w:val="18"/>
        </w:numPr>
        <w:spacing w:beforeLines="40" w:before="96" w:afterLines="40" w:after="96"/>
        <w:contextualSpacing/>
        <w:rPr>
          <w:szCs w:val="22"/>
        </w:rPr>
      </w:pPr>
      <w:r>
        <w:t xml:space="preserve">1,1,2,2,3-pentafluorpropan (HFC-245ca) </w:t>
      </w:r>
    </w:p>
    <w:p w:rsidR="00D9472D" w:rsidRDefault="002E5D08">
      <w:pPr>
        <w:pStyle w:val="ListParagraph"/>
        <w:numPr>
          <w:ilvl w:val="0"/>
          <w:numId w:val="18"/>
        </w:numPr>
        <w:spacing w:beforeLines="40" w:before="96" w:afterLines="40" w:after="96"/>
        <w:contextualSpacing/>
        <w:rPr>
          <w:szCs w:val="22"/>
        </w:rPr>
      </w:pPr>
      <w:r>
        <w:t xml:space="preserve">1,1,2,3,3-pentafluorpropan (HFC-245ea) </w:t>
      </w:r>
    </w:p>
    <w:p w:rsidR="00D9472D" w:rsidRDefault="002E5D08">
      <w:pPr>
        <w:pStyle w:val="ListParagraph"/>
        <w:numPr>
          <w:ilvl w:val="0"/>
          <w:numId w:val="18"/>
        </w:numPr>
        <w:spacing w:beforeLines="40" w:before="96" w:afterLines="40" w:after="96"/>
        <w:contextualSpacing/>
        <w:rPr>
          <w:szCs w:val="22"/>
        </w:rPr>
      </w:pPr>
      <w:r>
        <w:t xml:space="preserve">1,1,1,2,3-pentafluorpropan (HFC-245eb) </w:t>
      </w:r>
    </w:p>
    <w:p w:rsidR="00D9472D" w:rsidRDefault="002E5D08">
      <w:pPr>
        <w:pStyle w:val="ListParagraph"/>
        <w:numPr>
          <w:ilvl w:val="0"/>
          <w:numId w:val="18"/>
        </w:numPr>
        <w:spacing w:beforeLines="40" w:before="96" w:afterLines="40" w:after="96"/>
        <w:contextualSpacing/>
        <w:rPr>
          <w:szCs w:val="22"/>
        </w:rPr>
      </w:pPr>
      <w:r>
        <w:t xml:space="preserve">1,1,1,3,3-pentafluoropropan (HFC-245fa) </w:t>
      </w:r>
    </w:p>
    <w:p w:rsidR="00D9472D" w:rsidRDefault="002E5D08">
      <w:pPr>
        <w:pStyle w:val="ListParagraph"/>
        <w:numPr>
          <w:ilvl w:val="0"/>
          <w:numId w:val="18"/>
        </w:numPr>
        <w:spacing w:beforeLines="40" w:before="96" w:afterLines="40" w:after="96"/>
        <w:contextualSpacing/>
        <w:rPr>
          <w:szCs w:val="22"/>
        </w:rPr>
      </w:pPr>
      <w:r>
        <w:t>1,1,1,2,3,</w:t>
      </w:r>
      <w:r>
        <w:t xml:space="preserve">3-heksafluorpropan (HFC-236ea) </w:t>
      </w:r>
    </w:p>
    <w:p w:rsidR="00D9472D" w:rsidRDefault="002E5D08">
      <w:pPr>
        <w:pStyle w:val="ListParagraph"/>
        <w:numPr>
          <w:ilvl w:val="0"/>
          <w:numId w:val="18"/>
        </w:numPr>
        <w:spacing w:beforeLines="40" w:before="96" w:afterLines="40" w:after="96"/>
        <w:contextualSpacing/>
        <w:rPr>
          <w:szCs w:val="22"/>
        </w:rPr>
      </w:pPr>
      <w:r>
        <w:t xml:space="preserve">1,1,1,3,3-pentafluorbutan (HFC-365mfc) </w:t>
      </w:r>
    </w:p>
    <w:p w:rsidR="00D9472D" w:rsidRDefault="002E5D08">
      <w:pPr>
        <w:pStyle w:val="ListParagraph"/>
        <w:numPr>
          <w:ilvl w:val="0"/>
          <w:numId w:val="18"/>
        </w:numPr>
        <w:spacing w:beforeLines="40" w:before="96" w:afterLines="40" w:after="96"/>
        <w:contextualSpacing/>
        <w:rPr>
          <w:szCs w:val="22"/>
        </w:rPr>
      </w:pPr>
      <w:r>
        <w:t xml:space="preserve">klorfluormetan (HCFC-31) </w:t>
      </w:r>
    </w:p>
    <w:p w:rsidR="00D9472D" w:rsidRDefault="002E5D08">
      <w:pPr>
        <w:pStyle w:val="ListParagraph"/>
        <w:numPr>
          <w:ilvl w:val="0"/>
          <w:numId w:val="18"/>
        </w:numPr>
        <w:spacing w:beforeLines="40" w:before="96" w:afterLines="40" w:after="96"/>
        <w:contextualSpacing/>
        <w:rPr>
          <w:szCs w:val="22"/>
        </w:rPr>
      </w:pPr>
      <w:r>
        <w:t xml:space="preserve">1-kloro-1-fluoretan (HCFC-151a) </w:t>
      </w:r>
    </w:p>
    <w:p w:rsidR="00D9472D" w:rsidRDefault="002E5D08">
      <w:pPr>
        <w:pStyle w:val="ListParagraph"/>
        <w:numPr>
          <w:ilvl w:val="0"/>
          <w:numId w:val="18"/>
        </w:numPr>
        <w:spacing w:beforeLines="40" w:before="96" w:afterLines="40" w:after="96"/>
        <w:contextualSpacing/>
        <w:rPr>
          <w:szCs w:val="22"/>
        </w:rPr>
      </w:pPr>
      <w:r>
        <w:t xml:space="preserve">1,2-dikloro-1,1,2-trifluoretan (HCFC-123a) </w:t>
      </w:r>
    </w:p>
    <w:p w:rsidR="00D9472D" w:rsidRDefault="002E5D08">
      <w:pPr>
        <w:pStyle w:val="ListParagraph"/>
        <w:numPr>
          <w:ilvl w:val="0"/>
          <w:numId w:val="18"/>
        </w:numPr>
        <w:spacing w:beforeLines="40" w:before="96" w:afterLines="40" w:after="96"/>
        <w:contextualSpacing/>
        <w:rPr>
          <w:szCs w:val="22"/>
        </w:rPr>
      </w:pPr>
      <w:r>
        <w:t>1,1,1,2,2,3,3,4,4-nonafluoro-4-metoksi-butan (C</w:t>
      </w:r>
      <w:r>
        <w:rPr>
          <w:vertAlign w:val="subscript"/>
        </w:rPr>
        <w:t>4</w:t>
      </w:r>
      <w:r>
        <w:t>F</w:t>
      </w:r>
      <w:r>
        <w:rPr>
          <w:vertAlign w:val="subscript"/>
        </w:rPr>
        <w:t>9</w:t>
      </w:r>
      <w:r>
        <w:t>OCH</w:t>
      </w:r>
      <w:r>
        <w:rPr>
          <w:vertAlign w:val="subscript"/>
        </w:rPr>
        <w:t>3</w:t>
      </w:r>
      <w:r>
        <w:t xml:space="preserve"> ili HFE-7100)</w:t>
      </w:r>
    </w:p>
    <w:p w:rsidR="00D9472D" w:rsidRDefault="002E5D08">
      <w:pPr>
        <w:pStyle w:val="ListParagraph"/>
        <w:numPr>
          <w:ilvl w:val="0"/>
          <w:numId w:val="18"/>
        </w:numPr>
        <w:spacing w:beforeLines="40" w:before="96" w:afterLines="40" w:after="96"/>
        <w:contextualSpacing/>
        <w:rPr>
          <w:szCs w:val="22"/>
        </w:rPr>
      </w:pPr>
      <w:r>
        <w:t>2-(difluorom</w:t>
      </w:r>
      <w:r>
        <w:t>etoksimetil)-1,1,1,2,3,3,3-heptafluorpropan ((CF</w:t>
      </w:r>
      <w:r>
        <w:rPr>
          <w:vertAlign w:val="subscript"/>
        </w:rPr>
        <w:t>3</w:t>
      </w:r>
      <w:r>
        <w:t>)</w:t>
      </w:r>
      <w:r>
        <w:rPr>
          <w:vertAlign w:val="subscript"/>
        </w:rPr>
        <w:t>2</w:t>
      </w:r>
      <w:r>
        <w:t>CFCF</w:t>
      </w:r>
      <w:r>
        <w:rPr>
          <w:vertAlign w:val="subscript"/>
        </w:rPr>
        <w:t>2</w:t>
      </w:r>
      <w:r>
        <w:t>OCH</w:t>
      </w:r>
      <w:r>
        <w:rPr>
          <w:vertAlign w:val="subscript"/>
        </w:rPr>
        <w:t>3</w:t>
      </w:r>
      <w:r>
        <w:t xml:space="preserve">) </w:t>
      </w:r>
    </w:p>
    <w:p w:rsidR="00D9472D" w:rsidRDefault="002E5D08">
      <w:pPr>
        <w:pStyle w:val="ListParagraph"/>
        <w:numPr>
          <w:ilvl w:val="0"/>
          <w:numId w:val="18"/>
        </w:numPr>
        <w:spacing w:beforeLines="40" w:before="96" w:afterLines="40" w:after="96"/>
        <w:contextualSpacing/>
        <w:rPr>
          <w:szCs w:val="22"/>
        </w:rPr>
      </w:pPr>
      <w:r>
        <w:t>1-etoksi-1,1,2,2,3,3,4,4,4-nonafluorbutan (C</w:t>
      </w:r>
      <w:r>
        <w:rPr>
          <w:vertAlign w:val="subscript"/>
        </w:rPr>
        <w:t>4</w:t>
      </w:r>
      <w:r>
        <w:t>F</w:t>
      </w:r>
      <w:r>
        <w:rPr>
          <w:vertAlign w:val="subscript"/>
        </w:rPr>
        <w:t>9</w:t>
      </w:r>
      <w:r>
        <w:t>OC</w:t>
      </w:r>
      <w:r>
        <w:rPr>
          <w:vertAlign w:val="subscript"/>
        </w:rPr>
        <w:t>2</w:t>
      </w:r>
      <w:r>
        <w:t>H</w:t>
      </w:r>
      <w:r>
        <w:rPr>
          <w:vertAlign w:val="subscript"/>
        </w:rPr>
        <w:t>5</w:t>
      </w:r>
      <w:r>
        <w:t xml:space="preserve"> ili HFE-7200) </w:t>
      </w:r>
    </w:p>
    <w:p w:rsidR="00D9472D" w:rsidRDefault="002E5D08">
      <w:pPr>
        <w:pStyle w:val="ListParagraph"/>
        <w:numPr>
          <w:ilvl w:val="0"/>
          <w:numId w:val="18"/>
        </w:numPr>
        <w:spacing w:beforeLines="40" w:before="96" w:afterLines="40" w:after="96"/>
        <w:contextualSpacing/>
        <w:rPr>
          <w:szCs w:val="22"/>
        </w:rPr>
      </w:pPr>
      <w:r>
        <w:t>2-(etoksidifluorometil)-1,1,1,2,3,3,3-heptafluorpropan ((CF</w:t>
      </w:r>
      <w:r>
        <w:rPr>
          <w:vertAlign w:val="subscript"/>
        </w:rPr>
        <w:t>3</w:t>
      </w:r>
      <w:r>
        <w:t>)</w:t>
      </w:r>
      <w:r>
        <w:rPr>
          <w:vertAlign w:val="subscript"/>
        </w:rPr>
        <w:t>2</w:t>
      </w:r>
      <w:r>
        <w:t>CFCF</w:t>
      </w:r>
      <w:r>
        <w:rPr>
          <w:vertAlign w:val="subscript"/>
        </w:rPr>
        <w:t>2</w:t>
      </w:r>
      <w:r>
        <w:t>OC</w:t>
      </w:r>
      <w:r>
        <w:rPr>
          <w:vertAlign w:val="subscript"/>
        </w:rPr>
        <w:t>2</w:t>
      </w:r>
      <w:r>
        <w:t>H</w:t>
      </w:r>
      <w:r>
        <w:rPr>
          <w:vertAlign w:val="subscript"/>
        </w:rPr>
        <w:t>5</w:t>
      </w:r>
      <w:r>
        <w:t xml:space="preserve">) </w:t>
      </w:r>
    </w:p>
    <w:p w:rsidR="00D9472D" w:rsidRDefault="002E5D08">
      <w:pPr>
        <w:pStyle w:val="ListParagraph"/>
        <w:numPr>
          <w:ilvl w:val="0"/>
          <w:numId w:val="18"/>
        </w:numPr>
        <w:spacing w:beforeLines="40" w:before="96" w:afterLines="40" w:after="96"/>
        <w:contextualSpacing/>
        <w:rPr>
          <w:szCs w:val="22"/>
        </w:rPr>
      </w:pPr>
      <w:r>
        <w:t xml:space="preserve">metil-acetat; </w:t>
      </w:r>
      <w:r>
        <w:t xml:space="preserve">1,1,1,2,2,3,3-heptafluoro-3-metoksi-propan (n-C3F7OCH3, HFE-7000) </w:t>
      </w:r>
    </w:p>
    <w:p w:rsidR="00D9472D" w:rsidRDefault="002E5D08">
      <w:pPr>
        <w:pStyle w:val="ListParagraph"/>
        <w:numPr>
          <w:ilvl w:val="0"/>
          <w:numId w:val="18"/>
        </w:numPr>
        <w:spacing w:beforeLines="40" w:before="96" w:afterLines="40" w:after="96"/>
        <w:contextualSpacing/>
        <w:rPr>
          <w:szCs w:val="22"/>
        </w:rPr>
      </w:pPr>
      <w:r>
        <w:t xml:space="preserve">3-etoksi-1,1,1,2,3,4,4,5,5,6,6,6-dodekafluoro-2-(trifluormetil) heksan (HFE-7500) </w:t>
      </w:r>
    </w:p>
    <w:p w:rsidR="00D9472D" w:rsidRDefault="002E5D08">
      <w:pPr>
        <w:pStyle w:val="ListParagraph"/>
        <w:numPr>
          <w:ilvl w:val="0"/>
          <w:numId w:val="18"/>
        </w:numPr>
        <w:spacing w:beforeLines="40" w:before="96" w:afterLines="40" w:after="96"/>
        <w:contextualSpacing/>
        <w:rPr>
          <w:szCs w:val="22"/>
        </w:rPr>
      </w:pPr>
      <w:r>
        <w:t xml:space="preserve">1,1,1,2,3,3,3-heptafluorpropan (HFC 227ea) </w:t>
      </w:r>
    </w:p>
    <w:p w:rsidR="00D9472D" w:rsidRDefault="002E5D08">
      <w:pPr>
        <w:pStyle w:val="ListParagraph"/>
        <w:numPr>
          <w:ilvl w:val="0"/>
          <w:numId w:val="18"/>
        </w:numPr>
        <w:spacing w:beforeLines="40" w:before="96" w:afterLines="40" w:after="96"/>
        <w:contextualSpacing/>
        <w:rPr>
          <w:szCs w:val="22"/>
        </w:rPr>
      </w:pPr>
      <w:r>
        <w:t xml:space="preserve">metil-format (HCOOCH3) </w:t>
      </w:r>
    </w:p>
    <w:p w:rsidR="00D9472D" w:rsidRDefault="002E5D08">
      <w:pPr>
        <w:pStyle w:val="ListParagraph"/>
        <w:numPr>
          <w:ilvl w:val="0"/>
          <w:numId w:val="18"/>
        </w:numPr>
        <w:spacing w:beforeLines="40" w:before="96" w:afterLines="40" w:after="96"/>
        <w:contextualSpacing/>
        <w:rPr>
          <w:szCs w:val="22"/>
        </w:rPr>
      </w:pPr>
      <w:r>
        <w:t>1,1,1,2,2,3,4,5,5,5-dekafluoro-3-metok</w:t>
      </w:r>
      <w:r>
        <w:t xml:space="preserve">si-4-trifluormetil-pentan (HFE-7300) </w:t>
      </w:r>
    </w:p>
    <w:p w:rsidR="00D9472D" w:rsidRDefault="002E5D08">
      <w:pPr>
        <w:pStyle w:val="ListParagraph"/>
        <w:numPr>
          <w:ilvl w:val="0"/>
          <w:numId w:val="18"/>
        </w:numPr>
        <w:spacing w:beforeLines="40" w:before="96" w:afterLines="40" w:after="96"/>
        <w:contextualSpacing/>
        <w:rPr>
          <w:szCs w:val="22"/>
        </w:rPr>
      </w:pPr>
      <w:r>
        <w:t xml:space="preserve">propilen karbonat </w:t>
      </w:r>
    </w:p>
    <w:p w:rsidR="00D9472D" w:rsidRDefault="002E5D08">
      <w:pPr>
        <w:pStyle w:val="ListParagraph"/>
        <w:numPr>
          <w:ilvl w:val="0"/>
          <w:numId w:val="18"/>
        </w:numPr>
        <w:spacing w:beforeLines="40" w:before="96" w:afterLines="40" w:after="96"/>
        <w:contextualSpacing/>
        <w:rPr>
          <w:szCs w:val="22"/>
        </w:rPr>
      </w:pPr>
      <w:r>
        <w:t xml:space="preserve">dimetil karbonat </w:t>
      </w:r>
    </w:p>
    <w:p w:rsidR="00D9472D" w:rsidRDefault="002E5D08">
      <w:pPr>
        <w:pStyle w:val="ListParagraph"/>
        <w:numPr>
          <w:ilvl w:val="0"/>
          <w:numId w:val="18"/>
        </w:numPr>
        <w:spacing w:beforeLines="40" w:before="96" w:afterLines="40" w:after="96"/>
        <w:contextualSpacing/>
        <w:rPr>
          <w:szCs w:val="22"/>
        </w:rPr>
      </w:pPr>
      <w:r>
        <w:rPr>
          <w:i/>
        </w:rPr>
        <w:t>trans</w:t>
      </w:r>
      <w:r>
        <w:t xml:space="preserve">-1,3,3,3-tetrafluoropropen </w:t>
      </w:r>
    </w:p>
    <w:p w:rsidR="00D9472D" w:rsidRDefault="002E5D08">
      <w:pPr>
        <w:pStyle w:val="ListParagraph"/>
        <w:numPr>
          <w:ilvl w:val="0"/>
          <w:numId w:val="18"/>
        </w:numPr>
        <w:spacing w:beforeLines="40" w:before="96" w:afterLines="40" w:after="96"/>
        <w:contextualSpacing/>
        <w:rPr>
          <w:szCs w:val="22"/>
        </w:rPr>
      </w:pPr>
      <w:r>
        <w:t>HCF</w:t>
      </w:r>
      <w:r>
        <w:rPr>
          <w:vertAlign w:val="subscript"/>
        </w:rPr>
        <w:t>2</w:t>
      </w:r>
      <w:r>
        <w:t>OCF</w:t>
      </w:r>
      <w:r>
        <w:rPr>
          <w:vertAlign w:val="subscript"/>
        </w:rPr>
        <w:t>2</w:t>
      </w:r>
      <w:r>
        <w:t xml:space="preserve">H (HFE-134) </w:t>
      </w:r>
    </w:p>
    <w:p w:rsidR="00D9472D" w:rsidRDefault="002E5D08">
      <w:pPr>
        <w:pStyle w:val="ListParagraph"/>
        <w:numPr>
          <w:ilvl w:val="0"/>
          <w:numId w:val="18"/>
        </w:numPr>
        <w:spacing w:beforeLines="40" w:before="96" w:afterLines="40" w:after="96"/>
        <w:contextualSpacing/>
        <w:rPr>
          <w:szCs w:val="22"/>
        </w:rPr>
      </w:pPr>
      <w:r>
        <w:t>HCF</w:t>
      </w:r>
      <w:r>
        <w:rPr>
          <w:vertAlign w:val="subscript"/>
        </w:rPr>
        <w:t>2</w:t>
      </w:r>
      <w:r>
        <w:t>OCF</w:t>
      </w:r>
      <w:r>
        <w:rPr>
          <w:vertAlign w:val="subscript"/>
        </w:rPr>
        <w:t>2</w:t>
      </w:r>
      <w:r>
        <w:t>OCF</w:t>
      </w:r>
      <w:r>
        <w:rPr>
          <w:vertAlign w:val="subscript"/>
        </w:rPr>
        <w:t>2</w:t>
      </w:r>
      <w:r>
        <w:t xml:space="preserve">H (HFE-236cal2) </w:t>
      </w:r>
    </w:p>
    <w:p w:rsidR="00D9472D" w:rsidRDefault="002E5D08">
      <w:pPr>
        <w:pStyle w:val="ListParagraph"/>
        <w:numPr>
          <w:ilvl w:val="0"/>
          <w:numId w:val="18"/>
        </w:numPr>
        <w:spacing w:beforeLines="40" w:before="96" w:afterLines="40" w:after="96"/>
        <w:contextualSpacing/>
        <w:rPr>
          <w:szCs w:val="22"/>
        </w:rPr>
      </w:pPr>
      <w:r>
        <w:t>HCF</w:t>
      </w:r>
      <w:r>
        <w:rPr>
          <w:vertAlign w:val="subscript"/>
        </w:rPr>
        <w:t>2</w:t>
      </w:r>
      <w:r>
        <w:t>OCF</w:t>
      </w:r>
      <w:r>
        <w:rPr>
          <w:vertAlign w:val="subscript"/>
        </w:rPr>
        <w:t>2</w:t>
      </w:r>
      <w:r>
        <w:t>CF</w:t>
      </w:r>
      <w:r>
        <w:rPr>
          <w:vertAlign w:val="subscript"/>
        </w:rPr>
        <w:t>2</w:t>
      </w:r>
      <w:r>
        <w:t>OCF</w:t>
      </w:r>
      <w:r>
        <w:rPr>
          <w:vertAlign w:val="subscript"/>
        </w:rPr>
        <w:t>2</w:t>
      </w:r>
      <w:r>
        <w:t xml:space="preserve">H (HFE-338pcc13) </w:t>
      </w:r>
    </w:p>
    <w:p w:rsidR="00D9472D" w:rsidRDefault="002E5D08">
      <w:pPr>
        <w:pStyle w:val="ListParagraph"/>
        <w:numPr>
          <w:ilvl w:val="0"/>
          <w:numId w:val="18"/>
        </w:numPr>
        <w:spacing w:beforeLines="40" w:before="96" w:afterLines="40" w:after="96"/>
        <w:contextualSpacing/>
        <w:rPr>
          <w:szCs w:val="22"/>
        </w:rPr>
      </w:pPr>
      <w:r>
        <w:t>HCF</w:t>
      </w:r>
      <w:r>
        <w:rPr>
          <w:vertAlign w:val="subscript"/>
        </w:rPr>
        <w:t>2</w:t>
      </w:r>
      <w:r>
        <w:t>OCF</w:t>
      </w:r>
      <w:r>
        <w:rPr>
          <w:vertAlign w:val="subscript"/>
        </w:rPr>
        <w:t>2</w:t>
      </w:r>
      <w:r>
        <w:t>OCF</w:t>
      </w:r>
      <w:r>
        <w:rPr>
          <w:vertAlign w:val="subscript"/>
        </w:rPr>
        <w:t>2</w:t>
      </w:r>
      <w:r>
        <w:t>CF</w:t>
      </w:r>
      <w:r>
        <w:rPr>
          <w:vertAlign w:val="subscript"/>
        </w:rPr>
        <w:t>2</w:t>
      </w:r>
      <w:r>
        <w:t>OCF</w:t>
      </w:r>
      <w:r>
        <w:rPr>
          <w:vertAlign w:val="subscript"/>
        </w:rPr>
        <w:t>2</w:t>
      </w:r>
      <w:r>
        <w:t>H (H-Galden 1040x ili H-Galden ZT 130 (ili 150</w:t>
      </w:r>
      <w:r>
        <w:t xml:space="preserve"> ili 180)) </w:t>
      </w:r>
    </w:p>
    <w:p w:rsidR="00D9472D" w:rsidRDefault="002E5D08">
      <w:pPr>
        <w:pStyle w:val="ListParagraph"/>
        <w:numPr>
          <w:ilvl w:val="0"/>
          <w:numId w:val="18"/>
        </w:numPr>
        <w:spacing w:beforeLines="40" w:before="96" w:afterLines="40" w:after="96"/>
        <w:contextualSpacing/>
        <w:rPr>
          <w:szCs w:val="22"/>
        </w:rPr>
      </w:pPr>
      <w:r>
        <w:rPr>
          <w:i/>
        </w:rPr>
        <w:t>trans</w:t>
      </w:r>
      <w:r>
        <w:t xml:space="preserve">-1-kloro-3,3,3-trifluorprop-1-en </w:t>
      </w:r>
    </w:p>
    <w:p w:rsidR="00D9472D" w:rsidRDefault="002E5D08">
      <w:pPr>
        <w:pStyle w:val="ListParagraph"/>
        <w:numPr>
          <w:ilvl w:val="0"/>
          <w:numId w:val="18"/>
        </w:numPr>
        <w:spacing w:beforeLines="40" w:before="96" w:afterLines="40" w:after="96"/>
        <w:contextualSpacing/>
        <w:rPr>
          <w:szCs w:val="22"/>
        </w:rPr>
      </w:pPr>
      <w:r>
        <w:t xml:space="preserve">2,3,3,3-tetrafluorpropen </w:t>
      </w:r>
    </w:p>
    <w:p w:rsidR="00D9472D" w:rsidRDefault="002E5D08">
      <w:pPr>
        <w:pStyle w:val="ListParagraph"/>
        <w:numPr>
          <w:ilvl w:val="0"/>
          <w:numId w:val="18"/>
        </w:numPr>
        <w:spacing w:beforeLines="40" w:before="96" w:afterLines="40" w:after="96"/>
        <w:contextualSpacing/>
        <w:rPr>
          <w:szCs w:val="22"/>
        </w:rPr>
      </w:pPr>
      <w:r>
        <w:t xml:space="preserve">2-amino-2-metil-1-propanol </w:t>
      </w:r>
    </w:p>
    <w:p w:rsidR="00D9472D" w:rsidRDefault="002E5D08">
      <w:pPr>
        <w:pStyle w:val="ListParagraph"/>
        <w:numPr>
          <w:ilvl w:val="0"/>
          <w:numId w:val="18"/>
        </w:numPr>
        <w:spacing w:beforeLines="40" w:before="96" w:afterLines="40" w:after="96"/>
        <w:contextualSpacing/>
        <w:rPr>
          <w:szCs w:val="22"/>
        </w:rPr>
      </w:pPr>
      <w:r>
        <w:t>etil acetat</w:t>
      </w:r>
    </w:p>
    <w:p w:rsidR="00D9472D" w:rsidRDefault="002E5D08">
      <w:pPr>
        <w:pStyle w:val="ListParagraph"/>
        <w:numPr>
          <w:ilvl w:val="0"/>
          <w:numId w:val="18"/>
        </w:numPr>
        <w:spacing w:beforeLines="40" w:before="96" w:afterLines="40" w:after="96"/>
        <w:contextualSpacing/>
        <w:rPr>
          <w:szCs w:val="22"/>
        </w:rPr>
      </w:pPr>
      <w:r>
        <w:t>butil acetat</w:t>
      </w:r>
    </w:p>
    <w:p w:rsidR="00D9472D" w:rsidRDefault="002E5D08">
      <w:pPr>
        <w:pStyle w:val="ListParagraph"/>
        <w:numPr>
          <w:ilvl w:val="0"/>
          <w:numId w:val="18"/>
        </w:numPr>
        <w:spacing w:beforeLines="40" w:before="96" w:afterLines="40" w:after="96"/>
        <w:contextualSpacing/>
        <w:rPr>
          <w:szCs w:val="22"/>
        </w:rPr>
      </w:pPr>
      <w:r>
        <w:t>i spojevi perfluorugljika koji pripadaju ovim razredima:</w:t>
      </w:r>
    </w:p>
    <w:p w:rsidR="00D9472D" w:rsidRDefault="002E5D08">
      <w:pPr>
        <w:pStyle w:val="ListParagraph"/>
        <w:numPr>
          <w:ilvl w:val="1"/>
          <w:numId w:val="19"/>
        </w:numPr>
        <w:spacing w:beforeLines="40" w:before="96" w:afterLines="40" w:after="96"/>
        <w:contextualSpacing/>
        <w:rPr>
          <w:szCs w:val="22"/>
        </w:rPr>
      </w:pPr>
      <w:r>
        <w:t>ciklički, razgranati ili linearni potpuno fluorirani alkani</w:t>
      </w:r>
    </w:p>
    <w:p w:rsidR="00D9472D" w:rsidRDefault="002E5D08">
      <w:pPr>
        <w:pStyle w:val="ListParagraph"/>
        <w:numPr>
          <w:ilvl w:val="1"/>
          <w:numId w:val="19"/>
        </w:numPr>
        <w:spacing w:beforeLines="40" w:before="96" w:afterLines="40" w:after="96"/>
        <w:contextualSpacing/>
        <w:rPr>
          <w:szCs w:val="22"/>
        </w:rPr>
      </w:pPr>
      <w:r>
        <w:t>ciklički,</w:t>
      </w:r>
      <w:r>
        <w:t xml:space="preserve"> razgranati ili linearni potpuno fluorirani eteri bez nezasićenja</w:t>
      </w:r>
    </w:p>
    <w:p w:rsidR="00D9472D" w:rsidRDefault="002E5D08">
      <w:pPr>
        <w:pStyle w:val="ListParagraph"/>
        <w:numPr>
          <w:ilvl w:val="1"/>
          <w:numId w:val="19"/>
        </w:numPr>
        <w:spacing w:beforeLines="40" w:before="96" w:afterLines="40" w:after="96"/>
        <w:contextualSpacing/>
        <w:rPr>
          <w:szCs w:val="22"/>
        </w:rPr>
      </w:pPr>
      <w:r>
        <w:t>ciklički, razgranati ili linearni potpuno fluorirani tercijarni amini bez nezasićenja i</w:t>
      </w:r>
    </w:p>
    <w:p w:rsidR="00D9472D" w:rsidRDefault="002E5D08">
      <w:pPr>
        <w:pStyle w:val="ListParagraph"/>
        <w:numPr>
          <w:ilvl w:val="1"/>
          <w:numId w:val="19"/>
        </w:numPr>
        <w:spacing w:beforeLines="40" w:before="96" w:afterLines="40" w:after="96"/>
        <w:contextualSpacing/>
        <w:rPr>
          <w:szCs w:val="22"/>
        </w:rPr>
      </w:pPr>
      <w:r>
        <w:t>sumpor koji sadržava perfluorugljike bez nezasićenja i sa sumpornim vezama samo s ugljikom i fluorom.</w:t>
      </w:r>
    </w:p>
    <w:p w:rsidR="00D9472D" w:rsidRDefault="00D9472D">
      <w:pPr>
        <w:spacing w:beforeLines="40" w:before="96" w:afterLines="40" w:after="96"/>
        <w:jc w:val="left"/>
        <w:rPr>
          <w:szCs w:val="22"/>
        </w:rPr>
      </w:pPr>
    </w:p>
    <w:sectPr w:rsidR="00D9472D">
      <w:headerReference w:type="even" r:id="rId101"/>
      <w:headerReference w:type="default" r:id="rId102"/>
      <w:footerReference w:type="even" r:id="rId103"/>
      <w:footerReference w:type="default" r:id="rId104"/>
      <w:headerReference w:type="first" r:id="rId105"/>
      <w:footerReference w:type="first" r:id="rId106"/>
      <w:type w:val="continuous"/>
      <w:pgSz w:w="16838" w:h="11906" w:orient="landscape"/>
      <w:pgMar w:top="1797" w:right="1440" w:bottom="1797" w:left="144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72D" w:rsidRDefault="002E5D08">
      <w:r>
        <w:separator/>
      </w:r>
    </w:p>
  </w:endnote>
  <w:endnote w:type="continuationSeparator" w:id="0">
    <w:p w:rsidR="00D9472D" w:rsidRDefault="002E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C Square Sans Pro">
    <w:panose1 w:val="020B0506040000020004"/>
    <w:charset w:val="00"/>
    <w:family w:val="swiss"/>
    <w:pitch w:val="variable"/>
    <w:sig w:usb0="A00002BF" w:usb1="5000E0FB" w:usb2="00000000" w:usb3="00000000" w:csb0="0000019F" w:csb1="00000000"/>
  </w:font>
  <w:font w:name="EC Square Sans Cond Pro">
    <w:panose1 w:val="020B0506040000020004"/>
    <w:charset w:val="00"/>
    <w:family w:val="swiss"/>
    <w:pitch w:val="variable"/>
    <w:sig w:usb0="A00002BF" w:usb1="500000DB"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85C" w:rsidRPr="00F6385C" w:rsidRDefault="00F6385C" w:rsidP="00F6385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D9472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521317"/>
      <w:docPartObj>
        <w:docPartGallery w:val="Page Numbers (Bottom of Page)"/>
        <w:docPartUnique/>
      </w:docPartObj>
    </w:sdtPr>
    <w:sdtEndPr>
      <w:rPr>
        <w:noProof/>
      </w:rPr>
    </w:sdtEndPr>
    <w:sdtContent>
      <w:p w:rsidR="00D9472D" w:rsidRDefault="002E5D08">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D9472D" w:rsidRDefault="00D9472D">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494514"/>
      <w:docPartObj>
        <w:docPartGallery w:val="Page Numbers (Bottom of Page)"/>
        <w:docPartUnique/>
      </w:docPartObj>
    </w:sdtPr>
    <w:sdtEndPr>
      <w:rPr>
        <w:noProof/>
      </w:rPr>
    </w:sdtEndPr>
    <w:sdtContent>
      <w:p w:rsidR="00D9472D" w:rsidRDefault="002E5D08">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D9472D" w:rsidRDefault="00D9472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D9472D">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319319"/>
      <w:docPartObj>
        <w:docPartGallery w:val="Page Numbers (Bottom of Page)"/>
        <w:docPartUnique/>
      </w:docPartObj>
    </w:sdtPr>
    <w:sdtEndPr>
      <w:rPr>
        <w:noProof/>
      </w:rPr>
    </w:sdtEndPr>
    <w:sdtContent>
      <w:p w:rsidR="00D9472D" w:rsidRDefault="002E5D08">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D9472D" w:rsidRDefault="00D9472D">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696712"/>
      <w:docPartObj>
        <w:docPartGallery w:val="Page Numbers (Bottom of Page)"/>
        <w:docPartUnique/>
      </w:docPartObj>
    </w:sdtPr>
    <w:sdtEndPr>
      <w:rPr>
        <w:noProof/>
      </w:rPr>
    </w:sdtEndPr>
    <w:sdtContent>
      <w:p w:rsidR="00D9472D" w:rsidRDefault="002E5D08">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D9472D" w:rsidRDefault="00D9472D">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D9472D">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572165"/>
      <w:docPartObj>
        <w:docPartGallery w:val="Page Numbers (Bottom of Page)"/>
        <w:docPartUnique/>
      </w:docPartObj>
    </w:sdtPr>
    <w:sdtEndPr>
      <w:rPr>
        <w:noProof/>
      </w:rPr>
    </w:sdtEndPr>
    <w:sdtContent>
      <w:p w:rsidR="00D9472D" w:rsidRDefault="002E5D08">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rsidR="00D9472D" w:rsidRDefault="00D9472D">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627860"/>
      <w:docPartObj>
        <w:docPartGallery w:val="Page Numbers (Bottom of Page)"/>
        <w:docPartUnique/>
      </w:docPartObj>
    </w:sdtPr>
    <w:sdtEndPr>
      <w:rPr>
        <w:noProof/>
      </w:rPr>
    </w:sdtEndPr>
    <w:sdtContent>
      <w:p w:rsidR="00D9472D" w:rsidRDefault="002E5D08">
        <w:pPr>
          <w:pStyle w:val="Footer"/>
          <w:jc w:val="center"/>
        </w:pPr>
        <w:r>
          <w:fldChar w:fldCharType="begin"/>
        </w:r>
        <w:r>
          <w:instrText xml:space="preserve"> PAGE   \* MERGEFO</w:instrText>
        </w:r>
        <w:r>
          <w:instrText xml:space="preserve">RMAT </w:instrText>
        </w:r>
        <w:r>
          <w:fldChar w:fldCharType="separate"/>
        </w:r>
        <w:r>
          <w:rPr>
            <w:noProof/>
          </w:rPr>
          <w:t>14</w:t>
        </w:r>
        <w:r>
          <w:rPr>
            <w:noProof/>
          </w:rPr>
          <w:fldChar w:fldCharType="end"/>
        </w:r>
      </w:p>
    </w:sdtContent>
  </w:sdt>
  <w:p w:rsidR="00D9472D" w:rsidRDefault="00D9472D">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D947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85C" w:rsidRPr="00F6385C" w:rsidRDefault="00F6385C" w:rsidP="00F6385C">
    <w:pPr>
      <w:pStyle w:val="FooterCoverPage"/>
      <w:rPr>
        <w:rFonts w:ascii="Arial" w:hAnsi="Arial" w:cs="Arial"/>
        <w:b/>
        <w:sz w:val="48"/>
      </w:rPr>
    </w:pPr>
    <w:r w:rsidRPr="00F6385C">
      <w:rPr>
        <w:rFonts w:ascii="Arial" w:hAnsi="Arial" w:cs="Arial"/>
        <w:b/>
        <w:sz w:val="48"/>
      </w:rPr>
      <w:t>HR</w:t>
    </w:r>
    <w:r w:rsidRPr="00F6385C">
      <w:rPr>
        <w:rFonts w:ascii="Arial" w:hAnsi="Arial" w:cs="Arial"/>
        <w:b/>
        <w:sz w:val="48"/>
      </w:rPr>
      <w:tab/>
    </w:r>
    <w:r w:rsidRPr="00F6385C">
      <w:rPr>
        <w:rFonts w:ascii="Arial" w:hAnsi="Arial" w:cs="Arial"/>
        <w:b/>
        <w:sz w:val="48"/>
      </w:rPr>
      <w:tab/>
    </w:r>
    <w:r w:rsidRPr="00F6385C">
      <w:tab/>
    </w:r>
    <w:proofErr w:type="spellStart"/>
    <w:r w:rsidRPr="00F6385C">
      <w:rPr>
        <w:rFonts w:ascii="Arial" w:hAnsi="Arial" w:cs="Arial"/>
        <w:b/>
        <w:sz w:val="48"/>
      </w:rPr>
      <w:t>HR</w:t>
    </w:r>
    <w:proofErr w:type="spellEnd"/>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678654"/>
      <w:docPartObj>
        <w:docPartGallery w:val="Page Numbers (Bottom of Page)"/>
        <w:docPartUnique/>
      </w:docPartObj>
    </w:sdtPr>
    <w:sdtEndPr>
      <w:rPr>
        <w:noProof/>
      </w:rPr>
    </w:sdtEndPr>
    <w:sdtContent>
      <w:p w:rsidR="00D9472D" w:rsidRDefault="002E5D08">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rsidR="00D9472D" w:rsidRDefault="00D9472D">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905558"/>
      <w:docPartObj>
        <w:docPartGallery w:val="Page Numbers (Bottom of Page)"/>
        <w:docPartUnique/>
      </w:docPartObj>
    </w:sdtPr>
    <w:sdtEndPr>
      <w:rPr>
        <w:noProof/>
      </w:rPr>
    </w:sdtEndPr>
    <w:sdtContent>
      <w:p w:rsidR="00D9472D" w:rsidRDefault="002E5D08">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rsidR="00D9472D" w:rsidRDefault="00D9472D">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D9472D">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401422"/>
      <w:docPartObj>
        <w:docPartGallery w:val="Page Numbers (Bottom of Page)"/>
        <w:docPartUnique/>
      </w:docPartObj>
    </w:sdtPr>
    <w:sdtEndPr>
      <w:rPr>
        <w:noProof/>
      </w:rPr>
    </w:sdtEndPr>
    <w:sdtContent>
      <w:p w:rsidR="00D9472D" w:rsidRDefault="002E5D08">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rsidR="00D9472D" w:rsidRDefault="00D9472D">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760613"/>
      <w:docPartObj>
        <w:docPartGallery w:val="Page Numbers (Bottom of Page)"/>
        <w:docPartUnique/>
      </w:docPartObj>
    </w:sdtPr>
    <w:sdtEndPr>
      <w:rPr>
        <w:noProof/>
      </w:rPr>
    </w:sdtEndPr>
    <w:sdtContent>
      <w:p w:rsidR="00D9472D" w:rsidRDefault="002E5D08">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rsidR="00D9472D" w:rsidRDefault="00D9472D">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D9472D">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923031"/>
      <w:docPartObj>
        <w:docPartGallery w:val="Page Numbers (Bottom of Page)"/>
        <w:docPartUnique/>
      </w:docPartObj>
    </w:sdtPr>
    <w:sdtEndPr>
      <w:rPr>
        <w:noProof/>
      </w:rPr>
    </w:sdtEndPr>
    <w:sdtContent>
      <w:p w:rsidR="00D9472D" w:rsidRDefault="002E5D08">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rsidR="00D9472D" w:rsidRDefault="00D9472D">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51240"/>
      <w:docPartObj>
        <w:docPartGallery w:val="Page Numbers (Bottom of Page)"/>
        <w:docPartUnique/>
      </w:docPartObj>
    </w:sdtPr>
    <w:sdtEndPr>
      <w:rPr>
        <w:noProof/>
      </w:rPr>
    </w:sdtEndPr>
    <w:sdtContent>
      <w:p w:rsidR="00D9472D" w:rsidRDefault="002E5D08">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rsidR="00D9472D" w:rsidRDefault="00D9472D">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D9472D">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938646"/>
      <w:docPartObj>
        <w:docPartGallery w:val="Page Numbers (Bottom of Page)"/>
        <w:docPartUnique/>
      </w:docPartObj>
    </w:sdtPr>
    <w:sdtEndPr>
      <w:rPr>
        <w:noProof/>
      </w:rPr>
    </w:sdtEndPr>
    <w:sdtContent>
      <w:p w:rsidR="00D9472D" w:rsidRDefault="002E5D08">
        <w:pPr>
          <w:pStyle w:val="Footer"/>
          <w:jc w:val="center"/>
        </w:pPr>
        <w:r>
          <w:fldChar w:fldCharType="begin"/>
        </w:r>
        <w:r>
          <w:instrText xml:space="preserve"> PAGE   \* MERGEFORMAT </w:instrText>
        </w:r>
        <w:r>
          <w:fldChar w:fldCharType="separate"/>
        </w:r>
        <w:r>
          <w:rPr>
            <w:noProof/>
          </w:rPr>
          <w:t>42</w:t>
        </w:r>
        <w:r>
          <w:rPr>
            <w:noProof/>
          </w:rPr>
          <w:fldChar w:fldCharType="end"/>
        </w:r>
      </w:p>
    </w:sdtContent>
  </w:sdt>
  <w:p w:rsidR="00D9472D" w:rsidRDefault="00D947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85C" w:rsidRPr="00F6385C" w:rsidRDefault="00F6385C" w:rsidP="00F6385C">
    <w:pPr>
      <w:pStyle w:val="FooterCoverPage"/>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546902"/>
      <w:docPartObj>
        <w:docPartGallery w:val="Page Numbers (Bottom of Page)"/>
        <w:docPartUnique/>
      </w:docPartObj>
    </w:sdtPr>
    <w:sdtEndPr>
      <w:rPr>
        <w:noProof/>
      </w:rPr>
    </w:sdtEndPr>
    <w:sdtContent>
      <w:p w:rsidR="00D9472D" w:rsidRDefault="002E5D08">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p w:rsidR="00D9472D" w:rsidRDefault="00D9472D">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D9472D">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651837"/>
      <w:docPartObj>
        <w:docPartGallery w:val="Page Numbers (Bottom of Page)"/>
        <w:docPartUnique/>
      </w:docPartObj>
    </w:sdtPr>
    <w:sdtEndPr>
      <w:rPr>
        <w:noProof/>
      </w:rPr>
    </w:sdtEndPr>
    <w:sdtContent>
      <w:p w:rsidR="00D9472D" w:rsidRDefault="002E5D08">
        <w:pPr>
          <w:pStyle w:val="Footer"/>
          <w:jc w:val="center"/>
        </w:pPr>
        <w:r>
          <w:fldChar w:fldCharType="begin"/>
        </w:r>
        <w:r>
          <w:instrText xml:space="preserve"> PAGE</w:instrText>
        </w:r>
        <w:r>
          <w:instrText xml:space="preserve">   \* MERGEFORMAT </w:instrText>
        </w:r>
        <w:r>
          <w:fldChar w:fldCharType="separate"/>
        </w:r>
        <w:r>
          <w:rPr>
            <w:noProof/>
          </w:rPr>
          <w:t>2</w:t>
        </w:r>
        <w:r>
          <w:rPr>
            <w:noProof/>
          </w:rPr>
          <w:fldChar w:fldCharType="end"/>
        </w:r>
      </w:p>
    </w:sdtContent>
  </w:sdt>
  <w:p w:rsidR="00D9472D" w:rsidRDefault="00D9472D">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238399"/>
      <w:docPartObj>
        <w:docPartGallery w:val="Page Numbers (Bottom of Page)"/>
        <w:docPartUnique/>
      </w:docPartObj>
    </w:sdtPr>
    <w:sdtEndPr>
      <w:rPr>
        <w:noProof/>
      </w:rPr>
    </w:sdtEndPr>
    <w:sdtContent>
      <w:p w:rsidR="00D9472D" w:rsidRDefault="002E5D08">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p w:rsidR="00D9472D" w:rsidRDefault="00D9472D">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D9472D">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430623"/>
      <w:docPartObj>
        <w:docPartGallery w:val="Page Numbers (Bottom of Page)"/>
        <w:docPartUnique/>
      </w:docPartObj>
    </w:sdtPr>
    <w:sdtEndPr>
      <w:rPr>
        <w:noProof/>
      </w:rPr>
    </w:sdtEndPr>
    <w:sdtContent>
      <w:p w:rsidR="00D9472D" w:rsidRDefault="002E5D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9472D" w:rsidRDefault="00D9472D">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990580"/>
      <w:docPartObj>
        <w:docPartGallery w:val="Page Numbers (Bottom of Page)"/>
        <w:docPartUnique/>
      </w:docPartObj>
    </w:sdtPr>
    <w:sdtEndPr>
      <w:rPr>
        <w:noProof/>
      </w:rPr>
    </w:sdtEndPr>
    <w:sdtContent>
      <w:p w:rsidR="00D9472D" w:rsidRDefault="002E5D08">
        <w:pPr>
          <w:pStyle w:val="Footer"/>
          <w:jc w:val="center"/>
        </w:pPr>
        <w:r>
          <w:fldChar w:fldCharType="begin"/>
        </w:r>
        <w:r>
          <w:instrText xml:space="preserve"> PAGE   \* MERGEFORMAT </w:instrText>
        </w:r>
        <w:r>
          <w:fldChar w:fldCharType="separate"/>
        </w:r>
        <w:r>
          <w:rPr>
            <w:noProof/>
          </w:rPr>
          <w:t>44</w:t>
        </w:r>
        <w:r>
          <w:rPr>
            <w:noProof/>
          </w:rPr>
          <w:fldChar w:fldCharType="end"/>
        </w:r>
      </w:p>
    </w:sdtContent>
  </w:sdt>
  <w:p w:rsidR="00D9472D" w:rsidRDefault="00D9472D">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D9472D">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508120"/>
      <w:docPartObj>
        <w:docPartGallery w:val="Page Numbers (Bottom of Page)"/>
        <w:docPartUnique/>
      </w:docPartObj>
    </w:sdtPr>
    <w:sdtEndPr>
      <w:rPr>
        <w:noProof/>
      </w:rPr>
    </w:sdtEndPr>
    <w:sdtContent>
      <w:p w:rsidR="00D9472D" w:rsidRDefault="002E5D08">
        <w:pPr>
          <w:pStyle w:val="Footer"/>
          <w:jc w:val="center"/>
        </w:pPr>
        <w:r>
          <w:fldChar w:fldCharType="begin"/>
        </w:r>
        <w:r>
          <w:instrText xml:space="preserve"> PAGE   \* MERGEFORMAT </w:instrText>
        </w:r>
        <w:r>
          <w:fldChar w:fldCharType="separate"/>
        </w:r>
        <w:r>
          <w:rPr>
            <w:noProof/>
          </w:rPr>
          <w:t>46</w:t>
        </w:r>
        <w:r>
          <w:rPr>
            <w:noProof/>
          </w:rPr>
          <w:fldChar w:fldCharType="end"/>
        </w:r>
      </w:p>
    </w:sdtContent>
  </w:sdt>
  <w:p w:rsidR="00D9472D" w:rsidRDefault="00D9472D">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129005"/>
      <w:docPartObj>
        <w:docPartGallery w:val="Page Numbers (Bottom of Page)"/>
        <w:docPartUnique/>
      </w:docPartObj>
    </w:sdtPr>
    <w:sdtEndPr>
      <w:rPr>
        <w:noProof/>
      </w:rPr>
    </w:sdtEndPr>
    <w:sdtContent>
      <w:p w:rsidR="00D9472D" w:rsidRDefault="002E5D08">
        <w:pPr>
          <w:pStyle w:val="Footer"/>
          <w:jc w:val="center"/>
        </w:pPr>
        <w:r>
          <w:fldChar w:fldCharType="begin"/>
        </w:r>
        <w:r>
          <w:instrText xml:space="preserve"> PAGE   \* MERGEFORMAT </w:instrText>
        </w:r>
        <w:r>
          <w:fldChar w:fldCharType="separate"/>
        </w:r>
        <w:r>
          <w:rPr>
            <w:noProof/>
          </w:rPr>
          <w:t>45</w:t>
        </w:r>
        <w:r>
          <w:rPr>
            <w:noProof/>
          </w:rPr>
          <w:fldChar w:fldCharType="end"/>
        </w:r>
      </w:p>
    </w:sdtContent>
  </w:sdt>
  <w:p w:rsidR="00D9472D" w:rsidRDefault="00D947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D9472D">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D9472D">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445268"/>
      <w:docPartObj>
        <w:docPartGallery w:val="Page Numbers (Bottom of Page)"/>
        <w:docPartUnique/>
      </w:docPartObj>
    </w:sdtPr>
    <w:sdtEndPr>
      <w:rPr>
        <w:noProof/>
      </w:rPr>
    </w:sdtEndPr>
    <w:sdtContent>
      <w:p w:rsidR="00D9472D" w:rsidRDefault="002E5D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9472D" w:rsidRDefault="00D9472D">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190179"/>
      <w:docPartObj>
        <w:docPartGallery w:val="Page Numbers (Bottom of Page)"/>
        <w:docPartUnique/>
      </w:docPartObj>
    </w:sdtPr>
    <w:sdtEndPr>
      <w:rPr>
        <w:noProof/>
      </w:rPr>
    </w:sdtEndPr>
    <w:sdtContent>
      <w:p w:rsidR="00D9472D" w:rsidRDefault="002E5D08">
        <w:pPr>
          <w:pStyle w:val="Footer"/>
          <w:jc w:val="center"/>
        </w:pPr>
        <w:r>
          <w:fldChar w:fldCharType="begin"/>
        </w:r>
        <w:r>
          <w:instrText xml:space="preserve"> PAGE   \* MERGEFORMAT </w:instrText>
        </w:r>
        <w:r>
          <w:fldChar w:fldCharType="separate"/>
        </w:r>
        <w:r>
          <w:rPr>
            <w:noProof/>
          </w:rPr>
          <w:t>47</w:t>
        </w:r>
        <w:r>
          <w:rPr>
            <w:noProof/>
          </w:rPr>
          <w:fldChar w:fldCharType="end"/>
        </w:r>
      </w:p>
    </w:sdtContent>
  </w:sdt>
  <w:p w:rsidR="00D9472D" w:rsidRDefault="00D9472D">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D9472D">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449277"/>
      <w:docPartObj>
        <w:docPartGallery w:val="Page Numbers (Bottom of Page)"/>
        <w:docPartUnique/>
      </w:docPartObj>
    </w:sdtPr>
    <w:sdtEndPr>
      <w:rPr>
        <w:noProof/>
      </w:rPr>
    </w:sdtEndPr>
    <w:sdtContent>
      <w:p w:rsidR="00D9472D" w:rsidRDefault="002E5D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9472D" w:rsidRDefault="00D9472D">
    <w:pPr>
      <w:pStyle w:val="Foo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211776"/>
      <w:docPartObj>
        <w:docPartGallery w:val="Page Numbers (Bottom of Page)"/>
        <w:docPartUnique/>
      </w:docPartObj>
    </w:sdtPr>
    <w:sdtEndPr>
      <w:rPr>
        <w:noProof/>
      </w:rPr>
    </w:sdtEndPr>
    <w:sdtContent>
      <w:p w:rsidR="00D9472D" w:rsidRDefault="002E5D08">
        <w:pPr>
          <w:pStyle w:val="Footer"/>
          <w:jc w:val="center"/>
        </w:pPr>
        <w:r>
          <w:fldChar w:fldCharType="begin"/>
        </w:r>
        <w:r>
          <w:instrText xml:space="preserve"> PAGE   \* MERGEFORMAT </w:instrText>
        </w:r>
        <w:r>
          <w:fldChar w:fldCharType="separate"/>
        </w:r>
        <w:r>
          <w:rPr>
            <w:noProof/>
          </w:rPr>
          <w:t>48</w:t>
        </w:r>
        <w:r>
          <w:rPr>
            <w:noProof/>
          </w:rPr>
          <w:fldChar w:fldCharType="end"/>
        </w:r>
      </w:p>
    </w:sdtContent>
  </w:sdt>
  <w:p w:rsidR="00D9472D" w:rsidRDefault="00D9472D">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D9472D">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853868"/>
      <w:docPartObj>
        <w:docPartGallery w:val="Page Numbers (Bottom of Page)"/>
        <w:docPartUnique/>
      </w:docPartObj>
    </w:sdtPr>
    <w:sdtEndPr>
      <w:rPr>
        <w:noProof/>
      </w:rPr>
    </w:sdtEndPr>
    <w:sdtContent>
      <w:p w:rsidR="00D9472D" w:rsidRDefault="002E5D08">
        <w:pPr>
          <w:pStyle w:val="Footer"/>
          <w:jc w:val="center"/>
        </w:pPr>
        <w:r>
          <w:fldChar w:fldCharType="begin"/>
        </w:r>
        <w:r>
          <w:instrText xml:space="preserve"> PAGE   \* MERGEFORMAT </w:instrText>
        </w:r>
        <w:r>
          <w:fldChar w:fldCharType="separate"/>
        </w:r>
        <w:r>
          <w:rPr>
            <w:noProof/>
          </w:rPr>
          <w:t>49</w:t>
        </w:r>
        <w:r>
          <w:rPr>
            <w:noProof/>
          </w:rPr>
          <w:fldChar w:fldCharType="end"/>
        </w:r>
      </w:p>
    </w:sdtContent>
  </w:sdt>
  <w:p w:rsidR="00D9472D" w:rsidRDefault="00D9472D">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661825"/>
      <w:docPartObj>
        <w:docPartGallery w:val="Page Numbers (Bottom of Page)"/>
        <w:docPartUnique/>
      </w:docPartObj>
    </w:sdtPr>
    <w:sdtEndPr>
      <w:rPr>
        <w:noProof/>
      </w:rPr>
    </w:sdtEndPr>
    <w:sdtContent>
      <w:p w:rsidR="00D9472D" w:rsidRDefault="002E5D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9472D" w:rsidRDefault="00D9472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075821"/>
      <w:docPartObj>
        <w:docPartGallery w:val="Page Numbers (Bottom of Page)"/>
        <w:docPartUnique/>
      </w:docPartObj>
    </w:sdtPr>
    <w:sdtEndPr>
      <w:rPr>
        <w:noProof/>
      </w:rPr>
    </w:sdtEndPr>
    <w:sdtContent>
      <w:p w:rsidR="00D9472D" w:rsidRDefault="002E5D08">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D9472D" w:rsidRDefault="00D9472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686257"/>
      <w:docPartObj>
        <w:docPartGallery w:val="Page Numbers (Bottom of Page)"/>
        <w:docPartUnique/>
      </w:docPartObj>
    </w:sdtPr>
    <w:sdtEndPr>
      <w:rPr>
        <w:noProof/>
      </w:rPr>
    </w:sdtEndPr>
    <w:sdtContent>
      <w:p w:rsidR="00D9472D" w:rsidRDefault="002E5D08">
        <w:pPr>
          <w:pStyle w:val="Footer"/>
          <w:jc w:val="center"/>
        </w:pPr>
        <w:r>
          <w:t>1.</w:t>
        </w:r>
      </w:p>
    </w:sdtContent>
  </w:sdt>
  <w:p w:rsidR="00D9472D" w:rsidRDefault="00D9472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D9472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610972"/>
      <w:docPartObj>
        <w:docPartGallery w:val="Page Numbers (Bottom of Page)"/>
        <w:docPartUnique/>
      </w:docPartObj>
    </w:sdtPr>
    <w:sdtEndPr>
      <w:rPr>
        <w:noProof/>
      </w:rPr>
    </w:sdtEndPr>
    <w:sdtContent>
      <w:p w:rsidR="00D9472D" w:rsidRDefault="002E5D08">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D9472D" w:rsidRDefault="00D9472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316889"/>
      <w:docPartObj>
        <w:docPartGallery w:val="Page Numbers (Bottom of Page)"/>
        <w:docPartUnique/>
      </w:docPartObj>
    </w:sdtPr>
    <w:sdtEndPr>
      <w:rPr>
        <w:noProof/>
      </w:rPr>
    </w:sdtEndPr>
    <w:sdtContent>
      <w:p w:rsidR="00D9472D" w:rsidRDefault="002E5D08">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D9472D" w:rsidRDefault="00D94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72D" w:rsidRDefault="002E5D08">
      <w:r>
        <w:separator/>
      </w:r>
    </w:p>
  </w:footnote>
  <w:footnote w:type="continuationSeparator" w:id="0">
    <w:p w:rsidR="00D9472D" w:rsidRDefault="002E5D08">
      <w:r>
        <w:continuationSeparator/>
      </w:r>
    </w:p>
  </w:footnote>
  <w:footnote w:id="1">
    <w:p w:rsidR="00D9472D" w:rsidRDefault="002E5D08">
      <w:pPr>
        <w:pStyle w:val="FootnoteText"/>
      </w:pPr>
      <w:r>
        <w:rPr>
          <w:rStyle w:val="FootnoteReference"/>
        </w:rPr>
        <w:footnoteRef/>
      </w:r>
      <w:r>
        <w:tab/>
        <w:t>Direktiva 2004/42/EZ Europskog parlamenta i Vijeća od 21. travnja 2004. o ograničavanju emisija hlapivih organskih spojeva nastalih upotrebom organskih otapala u određenim bojama i</w:t>
      </w:r>
      <w:r>
        <w:t xml:space="preserve"> lakovima i proizvodima za završnu obradu vozila, te o izmjeni Direktive 1999/13/EZ.</w:t>
      </w:r>
    </w:p>
  </w:footnote>
  <w:footnote w:id="2">
    <w:p w:rsidR="00D9472D" w:rsidRDefault="002E5D08">
      <w:pPr>
        <w:pStyle w:val="FootnoteText"/>
        <w:ind w:left="0" w:firstLine="0"/>
      </w:pPr>
      <w:r>
        <w:rPr>
          <w:rStyle w:val="FootnoteReference"/>
        </w:rPr>
        <w:footnoteRef/>
      </w:r>
      <w:r>
        <w:t xml:space="preserve"> </w:t>
      </w:r>
      <w:r>
        <w:t>Kako bi ispunili ovaj zahtjev ponuditelji i/ili njihovi dobavljači morat će pregledati nalaze li se ftalati na popisu predloženih tvari za uvrštavanje u Uredbu REACH. Ia</w:t>
      </w:r>
      <w:r>
        <w:t>ko ftalate može biti jednostavno utvrditi kao sastojak jer se obično upotrebljavaju kao plastifikatori, nije lako prepoznati sve ftalate koji se nalaze na popisu predloženih tvari prema njihovu kemijskom imenu. Zato može biti korisno ponuditeljima dati kem</w:t>
      </w:r>
      <w:r>
        <w:t xml:space="preserve">ijsku definiciju. U tu se svrhu oni definiraju kao „skupina kemijskih spojeva čiju strukturnu osnovu čini ester ftalne kiseline (1,2-benzendikarboksilna kiselina)”. </w:t>
      </w:r>
    </w:p>
  </w:footnote>
  <w:footnote w:id="3">
    <w:p w:rsidR="00D9472D" w:rsidRDefault="002E5D08">
      <w:pPr>
        <w:pStyle w:val="FootnoteText"/>
      </w:pPr>
      <w:r>
        <w:rPr>
          <w:rStyle w:val="FootnoteReference"/>
        </w:rPr>
        <w:footnoteRef/>
      </w:r>
      <w:r>
        <w:t xml:space="preserve"> </w:t>
      </w:r>
      <w:r>
        <w:t>ECHA, Popis predloženih posebno zabrinjavajućih tvari za odobrenje, https://echa.europa.</w:t>
      </w:r>
      <w:r>
        <w:t>eu/hr/candidate-list-table</w:t>
      </w:r>
    </w:p>
  </w:footnote>
  <w:footnote w:id="4">
    <w:p w:rsidR="00D9472D" w:rsidRDefault="002E5D08">
      <w:pPr>
        <w:pStyle w:val="FootnoteText"/>
        <w:ind w:left="0" w:firstLine="0"/>
      </w:pPr>
      <w:r>
        <w:rPr>
          <w:rStyle w:val="FootnoteReference"/>
        </w:rPr>
        <w:footnoteRef/>
      </w:r>
      <w:r>
        <w:t xml:space="preserve"> </w:t>
      </w:r>
      <w:r>
        <w:t>Kako bi ispunili ovaj zahtjev ponuditelji i/ili njihovi dobavljači morat će pregledati nalaze li se ftalati na popisu predloženih tvari za uvrštavanje u Uredbu REACH. Iako ftalate može biti jednostavno utvrditi kao sastojak jer</w:t>
      </w:r>
      <w:r>
        <w:t xml:space="preserve"> se obično upotrebljavaju kao plastifikatori, nije lako utvrditi sve ftalate koji se nalaze na popisu predloženih tvari. Zato može biti korisno ponuditeljima dati kemijsku definiciju. U tu se svrhu oni definiraju kao „skupina kemijskih spojeva čiju struktu</w:t>
      </w:r>
      <w:r>
        <w:t xml:space="preserve">rnu osnovu čini ester ftalne kiseline (1,2-benzendikarboksilna kiselina)”. </w:t>
      </w:r>
    </w:p>
  </w:footnote>
  <w:footnote w:id="5">
    <w:p w:rsidR="00D9472D" w:rsidRDefault="002E5D08">
      <w:pPr>
        <w:pStyle w:val="FootnoteText"/>
      </w:pPr>
      <w:r>
        <w:rPr>
          <w:rStyle w:val="FootnoteReference"/>
        </w:rPr>
        <w:footnoteRef/>
      </w:r>
      <w:r>
        <w:t xml:space="preserve"> </w:t>
      </w:r>
      <w:r>
        <w:t>ECHA, Popis predloženih posebno zabrinjavajućih tvari za odobrenje, https://echa.europa.eu/hr/candidate-list-table</w:t>
      </w:r>
    </w:p>
  </w:footnote>
  <w:footnote w:id="6">
    <w:p w:rsidR="00D9472D" w:rsidRDefault="002E5D08">
      <w:pPr>
        <w:pStyle w:val="FootnoteText"/>
        <w:ind w:left="0" w:firstLine="0"/>
      </w:pPr>
      <w:r>
        <w:rPr>
          <w:vertAlign w:val="superscript"/>
        </w:rPr>
        <w:footnoteRef/>
      </w:r>
      <w:r>
        <w:rPr>
          <w:vertAlign w:val="superscript"/>
        </w:rPr>
        <w:t xml:space="preserve"> </w:t>
      </w:r>
      <w:r>
        <w:t>Objašnjenje: članak 33. stavak 1. Uredbe REACH ne odnosi se n</w:t>
      </w:r>
      <w:r>
        <w:t>a mješavine (kao što su boje i većina formulacija oznaka na kolniku), već samo na proizvode. Proizvodi koji se obično mogu naći među oznakama na kolniku koji nisu mješavine sustavi su strukturne plastike i unaprijed oblikovani proizvodi za označivanje koln</w:t>
      </w:r>
      <w:r>
        <w:t xml:space="preserve">ika definirani kao vrpca, unaprijed oblikovane oznake na kolniku od hladne plastike ili unaprijed oblikovane termoplastične oznake na kolniku. U tom se slučaju primjenjuje članak 33. stavak 1. Uredbe REACH: na temelju tog članka dobavljači (to uključuje i </w:t>
      </w:r>
      <w:r>
        <w:t>profesionalne trgovine u kojima se proizvod kupuje te proizvođače ili uvoznike proizvoda) moraju primateljima proizvoda (u ovom slučaju naručiteljima) pružiti informacije o sigurnoj uporabi proizvoda. Primatelju proizvoda (u ovom slučaju naručitelju) dosta</w:t>
      </w:r>
      <w:r>
        <w:t xml:space="preserve">vljaju se najmanje nazivi tvari s popisa predloženih tvari koje se nalaze u proizvodu ako su prisutne u koncentraciji od više od 0,1 % mase proizvoda. </w:t>
      </w:r>
    </w:p>
    <w:p w:rsidR="00D9472D" w:rsidRDefault="00D9472D">
      <w:pPr>
        <w:pStyle w:val="FootnoteText"/>
      </w:pPr>
    </w:p>
  </w:footnote>
  <w:footnote w:id="7">
    <w:p w:rsidR="00D9472D" w:rsidRDefault="002E5D08">
      <w:pPr>
        <w:pStyle w:val="FootnoteText"/>
      </w:pPr>
      <w:r>
        <w:rPr>
          <w:rStyle w:val="FootnoteReference"/>
        </w:rPr>
        <w:footnoteRef/>
      </w:r>
      <w:r>
        <w:t xml:space="preserve"> </w:t>
      </w:r>
      <w:r>
        <w:t>ECHA, Popis predloženih posebno zabrinjavajućih tvari za odobrenje, https://echa.europa.eu/hr/candida</w:t>
      </w:r>
      <w:r>
        <w:t>te-list-table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85C" w:rsidRPr="00F6385C" w:rsidRDefault="00F6385C" w:rsidP="00F6385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2E5D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697.5pt;height:91.5pt;rotation:315;z-index:-251640832;mso-position-horizontal:center;mso-position-horizontal-relative:margin;mso-position-vertical:center;mso-position-vertical-relative:margin" o:allowincell="f" fillcolor="#bfbfbf [2412]" stroked="f">
          <v:fill opacity=".5"/>
          <v:textpath style="font-family:&quot;Times New Roman&quot;;font-size:80pt" string="Nacrt za savjetovanj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D9472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D9472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2E5D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697.5pt;height:91.5pt;rotation:315;z-index:-251634688;mso-position-horizontal:center;mso-position-horizontal-relative:margin;mso-position-vertical:center;mso-position-vertical-relative:margin" o:allowincell="f" fillcolor="#bfbfbf [2412]" stroked="f">
          <v:fill opacity=".5"/>
          <v:textpath style="font-family:&quot;Times New Roman&quot;;font-size:80pt" string="Nacrt za savjetovanj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D9472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D9472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2E5D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left:0;text-align:left;margin-left:0;margin-top:0;width:697.5pt;height:91.5pt;rotation:315;z-index:-251628544;mso-position-horizontal:center;mso-position-horizontal-relative:margin;mso-position-vertical:center;mso-position-vertical-relative:margin" o:allowincell="f" fillcolor="#bfbfbf [2412]" stroked="f">
          <v:fill opacity=".5"/>
          <v:textpath style="font-family:&quot;Times New Roman&quot;;font-size:80pt" string="Nacrt za savjetovanje"/>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D9472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D9472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2E5D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left:0;text-align:left;margin-left:0;margin-top:0;width:697.5pt;height:91.5pt;rotation:315;z-index:-251622400;mso-position-horizontal:center;mso-position-horizontal-relative:margin;mso-position-vertical:center;mso-position-vertical-relative:margin" o:allowincell="f" fillcolor="#bfbfbf [2412]" stroked="f">
          <v:fill opacity=".5"/>
          <v:textpath style="font-family:&quot;Times New Roman&quot;;font-size:80pt" string="Nacrt za savjetovanj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85C" w:rsidRPr="00F6385C" w:rsidRDefault="00F6385C" w:rsidP="00F6385C">
    <w:pPr>
      <w:pStyle w:val="HeaderCoverPage"/>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D9472D">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D9472D">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2E5D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left:0;text-align:left;margin-left:0;margin-top:0;width:697.5pt;height:91.5pt;rotation:315;z-index:-251616256;mso-position-horizontal:center;mso-position-horizontal-relative:margin;mso-position-vertical:center;mso-position-vertical-relative:margin" o:allowincell="f" fillcolor="#bfbfbf [2412]" stroked="f">
          <v:fill opacity=".5"/>
          <v:textpath style="font-family:&quot;Times New Roman&quot;;font-size:80pt" string="Nacrt za savjetovanje"/>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D9472D">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D9472D">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2E5D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left:0;text-align:left;margin-left:0;margin-top:0;width:697.5pt;height:91.5pt;rotation:315;z-index:-251610112;mso-position-horizontal:center;mso-position-horizontal-relative:margin;mso-position-vertical:center;mso-position-vertical-relative:margin" o:allowincell="f" fillcolor="#bfbfbf [2412]" stroked="f">
          <v:fill opacity=".5"/>
          <v:textpath style="font-family:&quot;Times New Roman&quot;;font-size:80pt" string="Nacrt za savjetovanje"/>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D9472D">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D9472D">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2E5D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5" type="#_x0000_t136" style="position:absolute;left:0;text-align:left;margin-left:0;margin-top:0;width:697.5pt;height:91.5pt;rotation:315;z-index:-251603968;mso-position-horizontal:center;mso-position-horizontal-relative:margin;mso-position-vertical:center;mso-position-vertical-relative:margin" o:allowincell="f" fillcolor="#bfbfbf [2412]" stroked="f">
          <v:fill opacity=".5"/>
          <v:textpath style="font-family:&quot;Times New Roman&quot;;font-size:80pt" string="Nacrt za savjetovanje"/>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D947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85C" w:rsidRPr="00F6385C" w:rsidRDefault="00F6385C" w:rsidP="00F6385C">
    <w:pPr>
      <w:pStyle w:val="HeaderCoverPage"/>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D9472D">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2E5D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8" type="#_x0000_t136" style="position:absolute;left:0;text-align:left;margin-left:0;margin-top:0;width:697.5pt;height:91.5pt;rotation:315;z-index:-251597824;mso-position-horizontal:center;mso-position-horizontal-relative:margin;mso-position-vertical:center;mso-position-vertical-relative:margin" o:allowincell="f" fillcolor="#bfbfbf [2412]" stroked="f">
          <v:fill opacity=".5"/>
          <v:textpath style="font-family:&quot;Times New Roman&quot;;font-size:80pt" string="Nacrt za savjetovanje"/>
          <w10:wrap anchorx="margin" anchory="margin"/>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2E5D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7" type="#_x0000_t136" style="position:absolute;left:0;text-align:left;margin-left:0;margin-top:0;width:697.5pt;height:91.5pt;rotation:315;z-index:-251599872;mso-position-horizontal:center;mso-position-horizontal-relative:margin;mso-position-vertical:center;mso-position-vertical-relative:margin" o:allowincell="f" fillcolor="#bfbfbf [2412]" stroked="f">
          <v:fill opacity=".5"/>
          <v:textpath style="font-family:&quot;Times New Roman&quot;;font-size:80pt" string="Nacrt za savjetovanje"/>
          <w10:wrap anchorx="margin" anchory="margin"/>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D9472D">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2E5D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1" type="#_x0000_t136" style="position:absolute;left:0;text-align:left;margin-left:0;margin-top:0;width:697.5pt;height:91.5pt;rotation:315;z-index:-251591680;mso-position-horizontal:center;mso-position-horizontal-relative:margin;mso-position-vertical:center;mso-position-vertical-relative:margin" o:allowincell="f" fillcolor="#bfbfbf [2412]" stroked="f">
          <v:fill opacity=".5"/>
          <v:textpath style="font-family:&quot;Times New Roman&quot;;font-size:80pt" string="Nacrt za savjetovanje"/>
          <w10:wrap anchorx="margin" anchory="margin"/>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2E5D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0" type="#_x0000_t136" style="position:absolute;left:0;text-align:left;margin-left:0;margin-top:0;width:697.5pt;height:91.5pt;rotation:315;z-index:-251593728;mso-position-horizontal:center;mso-position-horizontal-relative:margin;mso-position-vertical:center;mso-position-vertical-relative:margin" o:allowincell="f" fillcolor="#bfbfbf [2412]" stroked="f">
          <v:fill opacity=".5"/>
          <v:textpath style="font-family:&quot;Times New Roman&quot;;font-size:80pt" string="Nacrt za savjetovanje"/>
          <w10:wrap anchorx="margin" anchory="margin"/>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D9472D">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2E5D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4" type="#_x0000_t136" style="position:absolute;left:0;text-align:left;margin-left:0;margin-top:0;width:697.5pt;height:91.5pt;rotation:315;z-index:-251585536;mso-position-horizontal:center;mso-position-horizontal-relative:margin;mso-position-vertical:center;mso-position-vertical-relative:margin" o:allowincell="f" fillcolor="#bfbfbf [2412]" stroked="f">
          <v:fill opacity=".5"/>
          <v:textpath style="font-family:&quot;Times New Roman&quot;;font-size:80pt" string="Nacrt za savjetovanje"/>
          <w10:wrap anchorx="margin" anchory="margin"/>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D9472D">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D947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D9472D">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2E5D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7" type="#_x0000_t136" style="position:absolute;left:0;text-align:left;margin-left:0;margin-top:0;width:697.5pt;height:91.5pt;rotation:315;z-index:-251579392;mso-position-horizontal:center;mso-position-horizontal-relative:margin;mso-position-vertical:center;mso-position-vertical-relative:margin" o:allowincell="f" fillcolor="#bfbfbf [2412]" stroked="f">
          <v:fill opacity=".5"/>
          <v:textpath style="font-family:&quot;Times New Roman&quot;;font-size:80pt" string="Nacrt za savjetovanje"/>
          <w10:wrap anchorx="margin" anchory="margin"/>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2E5D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6" type="#_x0000_t136" style="position:absolute;left:0;text-align:left;margin-left:0;margin-top:0;width:697.5pt;height:91.5pt;rotation:315;z-index:-251581440;mso-position-horizontal:center;mso-position-horizontal-relative:margin;mso-position-vertical:center;mso-position-vertical-relative:margin" o:allowincell="f" fillcolor="#bfbfbf [2412]" stroked="f">
          <v:fill opacity=".5"/>
          <v:textpath style="font-family:&quot;Times New Roman&quot;;font-size:80pt" string="Nacrt za savjetovanje"/>
          <w10:wrap anchorx="margin" anchory="margin"/>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D9472D">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2E5D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0" type="#_x0000_t136" style="position:absolute;left:0;text-align:left;margin-left:0;margin-top:0;width:697.5pt;height:91.5pt;rotation:315;z-index:-251573248;mso-position-horizontal:center;mso-position-horizontal-relative:margin;mso-position-vertical:center;mso-position-vertical-relative:margin" o:allowincell="f" fillcolor="#bfbfbf [2412]" stroked="f">
          <v:fill opacity=".5"/>
          <v:textpath style="font-family:&quot;Times New Roman&quot;;font-size:80pt" string="Nacrt za savjetovanje"/>
          <w10:wrap anchorx="margin" anchory="margin"/>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2E5D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9" type="#_x0000_t136" style="position:absolute;left:0;text-align:left;margin-left:0;margin-top:0;width:697.5pt;height:91.5pt;rotation:315;z-index:-251575296;mso-position-horizontal:center;mso-position-horizontal-relative:margin;mso-position-vertical:center;mso-position-vertical-relative:margin" o:allowincell="f" fillcolor="#bfbfbf [2412]" stroked="f">
          <v:fill opacity=".5"/>
          <v:textpath style="font-family:&quot;Times New Roman&quot;;font-size:80pt" string="Nacrt za savjetovanje"/>
          <w10:wrap anchorx="margin" anchory="margin"/>
        </v:shape>
      </w:pic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D9472D">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2E5D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3" type="#_x0000_t136" style="position:absolute;left:0;text-align:left;margin-left:0;margin-top:0;width:697.5pt;height:91.5pt;rotation:315;z-index:-251567104;mso-position-horizontal:center;mso-position-horizontal-relative:margin;mso-position-vertical:center;mso-position-vertical-relative:margin" o:allowincell="f" fillcolor="#bfbfbf [2412]" stroked="f">
          <v:fill opacity=".5"/>
          <v:textpath style="font-family:&quot;Times New Roman&quot;;font-size:80pt" string="Nacrt za savjetovanje"/>
          <w10:wrap anchorx="margin" anchory="margin"/>
        </v:shape>
      </w:pic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D9472D">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2E5D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1" type="#_x0000_t136" style="position:absolute;left:0;text-align:left;margin-left:0;margin-top:0;width:697.5pt;height:91.5pt;rotation:315;z-index:-251571200;mso-position-horizontal:center;mso-position-horizontal-relative:margin;mso-position-vertical:center;mso-position-vertical-relative:margin" o:allowincell="f" fillcolor="#bfbfbf [2412]" stroked="f">
          <v:fill opacity=".5"/>
          <v:textpath style="font-family:&quot;Times New Roman&quot;;font-size:80pt" string="Nacrt za savjetovanj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D9472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D9472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2E5D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697.5pt;height:91.5pt;rotation:315;z-index:-251646976;mso-position-horizontal:center;mso-position-horizontal-relative:margin;mso-position-vertical:center;mso-position-vertical-relative:margin" o:allowincell="f" fillcolor="#bfbfbf [2412]" stroked="f">
          <v:fill opacity=".5"/>
          <v:textpath style="font-family:&quot;Times New Roman&quot;;font-size:80pt" string="Nacrt za savjetovanj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2E5D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697.5pt;height:91.5pt;rotation:315;z-index:-251649024;mso-position-horizontal:center;mso-position-horizontal-relative:margin;mso-position-vertical:center;mso-position-vertical-relative:margin" o:allowincell="f" fillcolor="#bfbfbf [2412]" stroked="f">
          <v:fill opacity=".5"/>
          <v:textpath style="font-family:&quot;Times New Roman&quot;;font-size:80pt" string="Nacrt za savjetovanj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72D" w:rsidRDefault="00D947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1486"/>
    <w:multiLevelType w:val="hybridMultilevel"/>
    <w:tmpl w:val="3FF63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D58F1"/>
    <w:multiLevelType w:val="hybridMultilevel"/>
    <w:tmpl w:val="1A92CD22"/>
    <w:lvl w:ilvl="0" w:tplc="F60CB3B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E9344A"/>
    <w:multiLevelType w:val="hybridMultilevel"/>
    <w:tmpl w:val="8BBEA0EE"/>
    <w:lvl w:ilvl="0" w:tplc="FE80394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B3C78B8"/>
    <w:multiLevelType w:val="multilevel"/>
    <w:tmpl w:val="2ED4F4D0"/>
    <w:name w:val="0,4493481"/>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1F5C343E"/>
    <w:multiLevelType w:val="hybridMultilevel"/>
    <w:tmpl w:val="3B581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DE576C"/>
    <w:multiLevelType w:val="hybridMultilevel"/>
    <w:tmpl w:val="2FD4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1D31C5"/>
    <w:multiLevelType w:val="hybridMultilevel"/>
    <w:tmpl w:val="1262BC8A"/>
    <w:lvl w:ilvl="0" w:tplc="FE803940">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B481535"/>
    <w:multiLevelType w:val="hybridMultilevel"/>
    <w:tmpl w:val="7228F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E021EF"/>
    <w:multiLevelType w:val="multilevel"/>
    <w:tmpl w:val="207EE55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418"/>
        </w:tabs>
        <w:ind w:left="1418" w:hanging="1418"/>
      </w:pPr>
      <w:rPr>
        <w:rFonts w:hint="default"/>
      </w:rPr>
    </w:lvl>
    <w:lvl w:ilvl="4">
      <w:start w:val="1"/>
      <w:numFmt w:val="decimal"/>
      <w:pStyle w:val="Heading5"/>
      <w:lvlText w:val="%1.%2.%3.%4.%5"/>
      <w:lvlJc w:val="left"/>
      <w:pPr>
        <w:tabs>
          <w:tab w:val="num" w:pos="1418"/>
        </w:tabs>
        <w:ind w:left="1418" w:hanging="1418"/>
      </w:pPr>
      <w:rPr>
        <w:rFonts w:hint="default"/>
      </w:rPr>
    </w:lvl>
    <w:lvl w:ilvl="5">
      <w:start w:val="1"/>
      <w:numFmt w:val="decimal"/>
      <w:pStyle w:val="Heading6"/>
      <w:lvlText w:val="%1.%2.%3.%4.%5.%6"/>
      <w:lvlJc w:val="left"/>
      <w:pPr>
        <w:tabs>
          <w:tab w:val="num" w:pos="1843"/>
        </w:tabs>
        <w:ind w:left="1843" w:hanging="1843"/>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306A1AE2"/>
    <w:multiLevelType w:val="hybridMultilevel"/>
    <w:tmpl w:val="C53E7BE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927A75"/>
    <w:multiLevelType w:val="hybridMultilevel"/>
    <w:tmpl w:val="76921C0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D4173D"/>
    <w:multiLevelType w:val="hybridMultilevel"/>
    <w:tmpl w:val="8E26B93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nsid w:val="3C5F4F30"/>
    <w:multiLevelType w:val="hybridMultilevel"/>
    <w:tmpl w:val="50D43002"/>
    <w:lvl w:ilvl="0" w:tplc="FE80394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DFB0246"/>
    <w:multiLevelType w:val="hybridMultilevel"/>
    <w:tmpl w:val="E474F97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050B37"/>
    <w:multiLevelType w:val="hybridMultilevel"/>
    <w:tmpl w:val="E0EC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924EBC"/>
    <w:multiLevelType w:val="hybridMultilevel"/>
    <w:tmpl w:val="8B78F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4C1E65"/>
    <w:multiLevelType w:val="hybridMultilevel"/>
    <w:tmpl w:val="72FC9EA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DA40F3"/>
    <w:multiLevelType w:val="hybridMultilevel"/>
    <w:tmpl w:val="BB9E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494BB6"/>
    <w:multiLevelType w:val="hybridMultilevel"/>
    <w:tmpl w:val="A7A01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BE0EBB"/>
    <w:multiLevelType w:val="hybridMultilevel"/>
    <w:tmpl w:val="94CA7374"/>
    <w:lvl w:ilvl="0" w:tplc="0809001B">
      <w:start w:val="1"/>
      <w:numFmt w:val="lowerRoman"/>
      <w:lvlText w:val="%1."/>
      <w:lvlJc w:val="righ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A7A6856"/>
    <w:multiLevelType w:val="hybridMultilevel"/>
    <w:tmpl w:val="16C2762E"/>
    <w:lvl w:ilvl="0" w:tplc="FE80394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8B02627"/>
    <w:multiLevelType w:val="hybridMultilevel"/>
    <w:tmpl w:val="99526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4241D6"/>
    <w:multiLevelType w:val="singleLevel"/>
    <w:tmpl w:val="ED569D6A"/>
    <w:lvl w:ilvl="0">
      <w:start w:val="1"/>
      <w:numFmt w:val="bullet"/>
      <w:pStyle w:val="ListBullet"/>
      <w:lvlText w:val=""/>
      <w:lvlJc w:val="left"/>
      <w:pPr>
        <w:tabs>
          <w:tab w:val="num" w:pos="283"/>
        </w:tabs>
        <w:ind w:left="283" w:hanging="283"/>
      </w:pPr>
      <w:rPr>
        <w:rFonts w:ascii="Symbol" w:hAnsi="Symbol"/>
      </w:rPr>
    </w:lvl>
  </w:abstractNum>
  <w:abstractNum w:abstractNumId="23">
    <w:nsid w:val="677703EC"/>
    <w:multiLevelType w:val="hybridMultilevel"/>
    <w:tmpl w:val="458EB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367980"/>
    <w:multiLevelType w:val="hybridMultilevel"/>
    <w:tmpl w:val="E1FC1834"/>
    <w:lvl w:ilvl="0" w:tplc="763082A2">
      <w:start w:val="1"/>
      <w:numFmt w:val="lowerRoman"/>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739C094F"/>
    <w:multiLevelType w:val="hybridMultilevel"/>
    <w:tmpl w:val="93188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0A6A4F"/>
    <w:multiLevelType w:val="hybridMultilevel"/>
    <w:tmpl w:val="2F2C0D64"/>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7">
    <w:nsid w:val="7A8E67D4"/>
    <w:multiLevelType w:val="hybridMultilevel"/>
    <w:tmpl w:val="B5AE85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E3C16E8"/>
    <w:multiLevelType w:val="hybridMultilevel"/>
    <w:tmpl w:val="F2DE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1"/>
  </w:num>
  <w:num w:numId="4">
    <w:abstractNumId w:val="27"/>
  </w:num>
  <w:num w:numId="5">
    <w:abstractNumId w:val="28"/>
  </w:num>
  <w:num w:numId="6">
    <w:abstractNumId w:val="3"/>
  </w:num>
  <w:num w:numId="7">
    <w:abstractNumId w:val="15"/>
  </w:num>
  <w:num w:numId="8">
    <w:abstractNumId w:val="13"/>
  </w:num>
  <w:num w:numId="9">
    <w:abstractNumId w:val="21"/>
  </w:num>
  <w:num w:numId="10">
    <w:abstractNumId w:val="10"/>
  </w:num>
  <w:num w:numId="11">
    <w:abstractNumId w:val="14"/>
  </w:num>
  <w:num w:numId="12">
    <w:abstractNumId w:val="23"/>
  </w:num>
  <w:num w:numId="13">
    <w:abstractNumId w:val="7"/>
  </w:num>
  <w:num w:numId="14">
    <w:abstractNumId w:val="17"/>
  </w:num>
  <w:num w:numId="15">
    <w:abstractNumId w:val="25"/>
  </w:num>
  <w:num w:numId="16">
    <w:abstractNumId w:val="9"/>
  </w:num>
  <w:num w:numId="17">
    <w:abstractNumId w:val="20"/>
  </w:num>
  <w:num w:numId="18">
    <w:abstractNumId w:val="12"/>
  </w:num>
  <w:num w:numId="19">
    <w:abstractNumId w:val="6"/>
  </w:num>
  <w:num w:numId="20">
    <w:abstractNumId w:val="8"/>
  </w:num>
  <w:num w:numId="21">
    <w:abstractNumId w:val="2"/>
  </w:num>
  <w:num w:numId="22">
    <w:abstractNumId w:val="5"/>
  </w:num>
  <w:num w:numId="23">
    <w:abstractNumId w:val="0"/>
  </w:num>
  <w:num w:numId="24">
    <w:abstractNumId w:val="18"/>
  </w:num>
  <w:num w:numId="25">
    <w:abstractNumId w:val="24"/>
  </w:num>
  <w:num w:numId="26">
    <w:abstractNumId w:val="19"/>
  </w:num>
  <w:num w:numId="27">
    <w:abstractNumId w:val="11"/>
  </w:num>
  <w:num w:numId="28">
    <w:abstractNumId w:val="22"/>
  </w:num>
  <w:num w:numId="29">
    <w:abstractNumId w:val="22"/>
  </w:num>
  <w:num w:numId="30">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Green"/>
    <w:docVar w:name="LW_CORRIGENDUM" w:val="&lt;UNUSED&gt;"/>
    <w:docVar w:name="LW_COVERPAGE_EXISTS" w:val="True"/>
    <w:docVar w:name="LW_COVERPAGE_GUID" w:val="D9D5E61A-65B4-4958-A0A3-1E6BEF2E4488"/>
    <w:docVar w:name="LW_COVERPAGE_TYPE" w:val="1"/>
    <w:docVar w:name="LW_CROSSREFERENCE" w:val="&lt;UNUSED&gt;"/>
    <w:docVar w:name="LW_DocType" w:val="NORMAL"/>
    <w:docVar w:name="LW_EMISSION" w:val="20.12.2017."/>
    <w:docVar w:name="LW_EMISSION_ISODATE" w:val="2017-12-20"/>
    <w:docVar w:name="LW_EMISSION_LOCATION" w:val="BRX"/>
    <w:docVar w:name="LW_EMISSION_PREFIX" w:val="Bruxelles,"/>
    <w:docVar w:name="LW_EMISSION_SUFFIX" w:val="&lt;EMPTY&gt;"/>
    <w:docVar w:name="LW_ID_DOCTYPE_NONLW" w:val="CP-024"/>
    <w:docVar w:name="LW_LANGUE" w:val="HR"/>
    <w:docVar w:name="LW_LEVEL_OF_SENSITIVITY" w:val="Standard treatment"/>
    <w:docVar w:name="LW_NOM.INST" w:val="EUROPSKA KOMISIJA"/>
    <w:docVar w:name="LW_NOM.INST_JOINTDOC" w:val="&lt;EMPTY&gt;"/>
    <w:docVar w:name="LW_PART_NBR" w:val="1"/>
    <w:docVar w:name="LW_PART_NBR_TOTAL" w:val="1"/>
    <w:docVar w:name="LW_REF.INST.NEW" w:val="SWD"/>
    <w:docVar w:name="LW_REF.INST.NEW_ADOPTED" w:val="draft"/>
    <w:docVar w:name="LW_REF.INST.NEW_TEXT" w:val="(2017) 4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ITRE.OBJ.CP" w:val="Mjerila EU-a za zelenu javnu nabavu za boje, lakove i oznake na kolniku"/>
    <w:docVar w:name="LW_TYPE.DOC.CP" w:val="RADNI DOKUMENT SLU\u381?BI KOMISIJE"/>
  </w:docVars>
  <w:rsids>
    <w:rsidRoot w:val="00D9472D"/>
    <w:rsid w:val="002E5D08"/>
    <w:rsid w:val="00D9472D"/>
    <w:rsid w:val="00F6385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hr-HR" w:eastAsia="hr-HR" w:bidi="hr-H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2"/>
      <w:szCs w:val="24"/>
    </w:rPr>
  </w:style>
  <w:style w:type="paragraph" w:styleId="Heading1">
    <w:name w:val="heading 1"/>
    <w:basedOn w:val="Normal"/>
    <w:next w:val="Normal"/>
    <w:link w:val="Heading1Char"/>
    <w:autoRedefine/>
    <w:qFormat/>
    <w:pPr>
      <w:keepNext/>
      <w:keepLines/>
      <w:numPr>
        <w:numId w:val="20"/>
      </w:numPr>
      <w:jc w:val="left"/>
      <w:outlineLvl w:val="0"/>
    </w:pPr>
    <w:rPr>
      <w:b/>
      <w:caps/>
      <w:kern w:val="28"/>
      <w:sz w:val="28"/>
      <w:szCs w:val="20"/>
    </w:rPr>
  </w:style>
  <w:style w:type="paragraph" w:styleId="Heading2">
    <w:name w:val="heading 2"/>
    <w:basedOn w:val="Normal"/>
    <w:next w:val="Normal"/>
    <w:link w:val="Heading2Char"/>
    <w:autoRedefine/>
    <w:qFormat/>
    <w:pPr>
      <w:keepNext/>
      <w:keepLines/>
      <w:numPr>
        <w:ilvl w:val="1"/>
        <w:numId w:val="20"/>
      </w:numPr>
      <w:jc w:val="left"/>
      <w:outlineLvl w:val="1"/>
    </w:pPr>
    <w:rPr>
      <w:b/>
      <w:sz w:val="28"/>
      <w:szCs w:val="20"/>
    </w:rPr>
  </w:style>
  <w:style w:type="paragraph" w:styleId="Heading3">
    <w:name w:val="heading 3"/>
    <w:basedOn w:val="Normal"/>
    <w:next w:val="Normal"/>
    <w:link w:val="Heading3Char"/>
    <w:qFormat/>
    <w:pPr>
      <w:keepNext/>
      <w:numPr>
        <w:ilvl w:val="2"/>
        <w:numId w:val="20"/>
      </w:numPr>
      <w:jc w:val="left"/>
      <w:outlineLvl w:val="2"/>
    </w:pPr>
    <w:rPr>
      <w:rFonts w:ascii="EC Square Sans Pro" w:hAnsi="EC Square Sans Pro"/>
      <w:b/>
      <w:sz w:val="24"/>
      <w:szCs w:val="20"/>
    </w:rPr>
  </w:style>
  <w:style w:type="paragraph" w:styleId="Heading4">
    <w:name w:val="heading 4"/>
    <w:basedOn w:val="Normal"/>
    <w:next w:val="Normal"/>
    <w:link w:val="Heading4Char"/>
    <w:qFormat/>
    <w:pPr>
      <w:keepNext/>
      <w:numPr>
        <w:ilvl w:val="3"/>
        <w:numId w:val="20"/>
      </w:numPr>
      <w:jc w:val="left"/>
      <w:outlineLvl w:val="3"/>
    </w:pPr>
    <w:rPr>
      <w:rFonts w:ascii="EC Square Sans Pro" w:hAnsi="EC Square Sans Pro"/>
      <w:b/>
      <w:szCs w:val="20"/>
    </w:rPr>
  </w:style>
  <w:style w:type="paragraph" w:styleId="Heading5">
    <w:name w:val="heading 5"/>
    <w:basedOn w:val="Normal"/>
    <w:next w:val="Normal"/>
    <w:link w:val="Heading5Char"/>
    <w:qFormat/>
    <w:pPr>
      <w:keepNext/>
      <w:numPr>
        <w:ilvl w:val="4"/>
        <w:numId w:val="20"/>
      </w:numPr>
      <w:tabs>
        <w:tab w:val="left" w:pos="1701"/>
      </w:tabs>
      <w:jc w:val="left"/>
      <w:outlineLvl w:val="4"/>
    </w:pPr>
    <w:rPr>
      <w:rFonts w:ascii="EC Square Sans Pro" w:hAnsi="EC Square Sans Pro"/>
      <w:b/>
      <w:sz w:val="20"/>
      <w:szCs w:val="20"/>
    </w:rPr>
  </w:style>
  <w:style w:type="paragraph" w:styleId="Heading6">
    <w:name w:val="heading 6"/>
    <w:basedOn w:val="Normal"/>
    <w:next w:val="Normal"/>
    <w:link w:val="Heading6Char"/>
    <w:qFormat/>
    <w:pPr>
      <w:keepNext/>
      <w:numPr>
        <w:ilvl w:val="5"/>
        <w:numId w:val="20"/>
      </w:numPr>
      <w:tabs>
        <w:tab w:val="left" w:pos="1985"/>
      </w:tabs>
      <w:jc w:val="left"/>
      <w:outlineLvl w:val="5"/>
    </w:pPr>
    <w:rPr>
      <w:rFonts w:ascii="EC Square Sans Pro" w:hAnsi="EC Square Sans Pro"/>
      <w:sz w:val="20"/>
      <w:szCs w:val="20"/>
    </w:rPr>
  </w:style>
  <w:style w:type="paragraph" w:styleId="Heading7">
    <w:name w:val="heading 7"/>
    <w:basedOn w:val="Normal"/>
    <w:next w:val="Normal"/>
    <w:link w:val="Heading7Char"/>
    <w:qFormat/>
    <w:pPr>
      <w:numPr>
        <w:ilvl w:val="6"/>
        <w:numId w:val="20"/>
      </w:numPr>
      <w:tabs>
        <w:tab w:val="left" w:pos="2268"/>
      </w:tabs>
      <w:outlineLvl w:val="6"/>
    </w:pPr>
    <w:rPr>
      <w:rFonts w:ascii="EC Square Sans Pro" w:hAnsi="EC Square Sans Pro"/>
      <w:i/>
      <w:sz w:val="20"/>
    </w:rPr>
  </w:style>
  <w:style w:type="paragraph" w:styleId="Heading8">
    <w:name w:val="heading 8"/>
    <w:basedOn w:val="Normal"/>
    <w:next w:val="Normal"/>
    <w:link w:val="Heading8Char"/>
    <w:qFormat/>
    <w:pPr>
      <w:numPr>
        <w:ilvl w:val="7"/>
        <w:numId w:val="20"/>
      </w:numPr>
      <w:spacing w:before="240" w:after="60"/>
      <w:outlineLvl w:val="7"/>
    </w:pPr>
    <w:rPr>
      <w:rFonts w:ascii="EC Square Sans Pro" w:hAnsi="EC Square Sans Pro"/>
      <w:i/>
      <w:iCs/>
      <w:sz w:val="24"/>
    </w:rPr>
  </w:style>
  <w:style w:type="paragraph" w:styleId="Heading9">
    <w:name w:val="heading 9"/>
    <w:basedOn w:val="Normal"/>
    <w:next w:val="Normal"/>
    <w:link w:val="Heading9Char"/>
    <w:qFormat/>
    <w:pPr>
      <w:numPr>
        <w:ilvl w:val="8"/>
        <w:numId w:val="20"/>
      </w:numPr>
      <w:spacing w:before="240" w:after="60"/>
      <w:outlineLvl w:val="8"/>
    </w:pPr>
    <w:rPr>
      <w:rFonts w:ascii="EC Square Sans Cond Pro" w:hAnsi="EC Square Sans Cond Pro"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ind w:left="7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eastAsia="hr-HR"/>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eastAsia="Times New Roman"/>
      <w:lang w:eastAsia="hr-H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Times New Roman"/>
      <w:b/>
      <w:bCs/>
      <w:lang w:eastAsia="hr-HR"/>
    </w:rPr>
  </w:style>
  <w:style w:type="paragraph" w:styleId="Revision">
    <w:name w:val="Revision"/>
    <w:hidden/>
    <w:uiPriority w:val="99"/>
    <w:semiHidden/>
    <w:rPr>
      <w:rFonts w:eastAsia="Times New Roman"/>
      <w:sz w:val="24"/>
      <w:szCs w:val="24"/>
    </w:rPr>
  </w:style>
  <w:style w:type="paragraph" w:styleId="FootnoteText">
    <w:name w:val="footnote text"/>
    <w:aliases w:val="IFZ f,Fußnote,-E Fußnotentext,footnote text,Fußnotentext Ursprung,Reference,Geneva 9,Font: Geneva 9,Boston 10,f,Footnotetext,f Char Char,f Char"/>
    <w:basedOn w:val="Normal"/>
    <w:link w:val="FootnoteTextChar"/>
    <w:uiPriority w:val="99"/>
    <w:qFormat/>
    <w:pPr>
      <w:ind w:left="720" w:hanging="720"/>
    </w:pPr>
    <w:rPr>
      <w:sz w:val="20"/>
      <w:szCs w:val="20"/>
    </w:rPr>
  </w:style>
  <w:style w:type="character" w:customStyle="1" w:styleId="FootnoteTextChar">
    <w:name w:val="Footnote Text Char"/>
    <w:aliases w:val="IFZ f Char,Fußnote Char,-E Fußnotentext Char,footnote text Char,Fußnotentext Ursprung Char,Reference Char,Geneva 9 Char,Font: Geneva 9 Char,Boston 10 Char,f Char1,Footnotetext Char,f Char Char Char,f Char Char1"/>
    <w:basedOn w:val="DefaultParagraphFont"/>
    <w:link w:val="FootnoteText"/>
    <w:uiPriority w:val="99"/>
    <w:rPr>
      <w:rFonts w:eastAsia="Times New Roman"/>
    </w:rPr>
  </w:style>
  <w:style w:type="character" w:styleId="FootnoteReference">
    <w:name w:val="footnote reference"/>
    <w:aliases w:val="stylish,number,SUPERS,Footnote symbol,Footnote,Times 10 Point,Exposant 3 Point,Ref,de nota al pie,Footnote reference number,note TESI,EN Footnote Reference,-E Fußnotenzeichen"/>
    <w:uiPriority w:val="99"/>
    <w:qFormat/>
    <w:rPr>
      <w:shd w:val="clear" w:color="auto" w:fill="auto"/>
      <w:vertAlign w:val="superscript"/>
    </w:rPr>
  </w:style>
  <w:style w:type="paragraph" w:customStyle="1" w:styleId="Point0number">
    <w:name w:val="Point 0 (number)"/>
    <w:basedOn w:val="Normal"/>
    <w:uiPriority w:val="99"/>
    <w:pPr>
      <w:numPr>
        <w:numId w:val="6"/>
      </w:numPr>
      <w:spacing w:before="120" w:after="120"/>
    </w:pPr>
  </w:style>
  <w:style w:type="paragraph" w:customStyle="1" w:styleId="Point1number">
    <w:name w:val="Point 1 (number)"/>
    <w:basedOn w:val="Normal"/>
    <w:uiPriority w:val="99"/>
    <w:pPr>
      <w:numPr>
        <w:ilvl w:val="2"/>
        <w:numId w:val="6"/>
      </w:numPr>
      <w:spacing w:before="120" w:after="120"/>
    </w:pPr>
  </w:style>
  <w:style w:type="paragraph" w:customStyle="1" w:styleId="Point2number">
    <w:name w:val="Point 2 (number)"/>
    <w:basedOn w:val="Normal"/>
    <w:pPr>
      <w:numPr>
        <w:ilvl w:val="4"/>
        <w:numId w:val="6"/>
      </w:numPr>
      <w:spacing w:before="120" w:after="120"/>
    </w:pPr>
  </w:style>
  <w:style w:type="paragraph" w:customStyle="1" w:styleId="Point3number">
    <w:name w:val="Point 3 (number)"/>
    <w:basedOn w:val="Normal"/>
    <w:pPr>
      <w:numPr>
        <w:ilvl w:val="6"/>
        <w:numId w:val="6"/>
      </w:numPr>
      <w:spacing w:before="120" w:after="120"/>
    </w:pPr>
  </w:style>
  <w:style w:type="paragraph" w:customStyle="1" w:styleId="Point0letter">
    <w:name w:val="Point 0 (letter)"/>
    <w:basedOn w:val="Normal"/>
    <w:pPr>
      <w:numPr>
        <w:ilvl w:val="1"/>
        <w:numId w:val="6"/>
      </w:numPr>
      <w:spacing w:before="120" w:after="120"/>
    </w:pPr>
  </w:style>
  <w:style w:type="paragraph" w:customStyle="1" w:styleId="Point1letter">
    <w:name w:val="Point 1 (letter)"/>
    <w:basedOn w:val="Normal"/>
    <w:uiPriority w:val="99"/>
    <w:pPr>
      <w:numPr>
        <w:ilvl w:val="3"/>
        <w:numId w:val="6"/>
      </w:numPr>
      <w:spacing w:before="120" w:after="120"/>
    </w:pPr>
  </w:style>
  <w:style w:type="paragraph" w:customStyle="1" w:styleId="Point2letter">
    <w:name w:val="Point 2 (letter)"/>
    <w:basedOn w:val="Normal"/>
    <w:pPr>
      <w:numPr>
        <w:ilvl w:val="5"/>
        <w:numId w:val="6"/>
      </w:numPr>
      <w:spacing w:before="120" w:after="120"/>
    </w:pPr>
  </w:style>
  <w:style w:type="paragraph" w:customStyle="1" w:styleId="Point3letter">
    <w:name w:val="Point 3 (letter)"/>
    <w:basedOn w:val="Normal"/>
    <w:pPr>
      <w:numPr>
        <w:ilvl w:val="7"/>
        <w:numId w:val="6"/>
      </w:numPr>
      <w:spacing w:before="120" w:after="120"/>
    </w:pPr>
  </w:style>
  <w:style w:type="paragraph" w:customStyle="1" w:styleId="Point4letter">
    <w:name w:val="Point 4 (letter)"/>
    <w:basedOn w:val="Normal"/>
    <w:uiPriority w:val="99"/>
    <w:pPr>
      <w:numPr>
        <w:ilvl w:val="8"/>
        <w:numId w:val="6"/>
      </w:numPr>
      <w:spacing w:before="120" w:after="120"/>
    </w:pPr>
  </w:style>
  <w:style w:type="paragraph" w:styleId="Footer">
    <w:name w:val="footer"/>
    <w:basedOn w:val="Normal"/>
    <w:link w:val="FooterChar"/>
    <w:uiPriority w:val="99"/>
    <w:unhideWhenUsed/>
    <w:pPr>
      <w:tabs>
        <w:tab w:val="center" w:pos="4535"/>
        <w:tab w:val="right" w:pos="9071"/>
        <w:tab w:val="right" w:pos="9921"/>
      </w:tabs>
      <w:spacing w:before="360"/>
      <w:ind w:left="-850" w:right="-850"/>
      <w:jc w:val="left"/>
    </w:pPr>
    <w:rPr>
      <w:rFonts w:eastAsiaTheme="minorHAnsi"/>
      <w:sz w:val="24"/>
      <w:szCs w:val="22"/>
    </w:rPr>
  </w:style>
  <w:style w:type="character" w:customStyle="1" w:styleId="FooterChar">
    <w:name w:val="Footer Char"/>
    <w:basedOn w:val="DefaultParagraphFont"/>
    <w:link w:val="Footer"/>
    <w:uiPriority w:val="99"/>
    <w:rPr>
      <w:sz w:val="24"/>
      <w:szCs w:val="22"/>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
    <w:name w:val="Macro Text Char"/>
    <w:basedOn w:val="DefaultParagraphFont"/>
    <w:link w:val="MacroText"/>
    <w:rPr>
      <w:rFonts w:ascii="Courier New" w:eastAsia="Times New Roman" w:hAnsi="Courier New"/>
    </w:rPr>
  </w:style>
  <w:style w:type="paragraph" w:styleId="BodyText">
    <w:name w:val="Body Text"/>
    <w:basedOn w:val="Normal"/>
    <w:link w:val="BodyTextChar"/>
    <w:rPr>
      <w:rFonts w:ascii="Arial" w:hAnsi="Arial" w:cs="Arial"/>
      <w:sz w:val="20"/>
      <w:szCs w:val="20"/>
    </w:rPr>
  </w:style>
  <w:style w:type="character" w:customStyle="1" w:styleId="BodyTextChar">
    <w:name w:val="Body Text Char"/>
    <w:basedOn w:val="DefaultParagraphFont"/>
    <w:link w:val="BodyText"/>
    <w:rPr>
      <w:rFonts w:ascii="Arial" w:eastAsia="Times New Roman" w:hAnsi="Arial" w:cs="Arial"/>
    </w:rPr>
  </w:style>
  <w:style w:type="paragraph" w:styleId="Header">
    <w:name w:val="header"/>
    <w:basedOn w:val="Normal"/>
    <w:link w:val="HeaderChar"/>
    <w:uiPriority w:val="99"/>
    <w:unhideWhenUsed/>
    <w:pPr>
      <w:tabs>
        <w:tab w:val="center" w:pos="4535"/>
        <w:tab w:val="right" w:pos="9071"/>
      </w:tabs>
      <w:spacing w:after="120"/>
    </w:pPr>
    <w:rPr>
      <w:rFonts w:eastAsiaTheme="minorHAnsi"/>
      <w:sz w:val="24"/>
      <w:szCs w:val="22"/>
    </w:rPr>
  </w:style>
  <w:style w:type="character" w:customStyle="1" w:styleId="HeaderChar">
    <w:name w:val="Header Char"/>
    <w:basedOn w:val="DefaultParagraphFont"/>
    <w:link w:val="Header"/>
    <w:uiPriority w:val="99"/>
    <w:rPr>
      <w:sz w:val="24"/>
      <w:szCs w:val="22"/>
    </w:rPr>
  </w:style>
  <w:style w:type="paragraph" w:styleId="Caption">
    <w:name w:val="caption"/>
    <w:basedOn w:val="Normal"/>
    <w:next w:val="Normal"/>
    <w:unhideWhenUsed/>
    <w:qFormat/>
    <w:pPr>
      <w:spacing w:after="200"/>
    </w:pPr>
    <w:rPr>
      <w:b/>
      <w:bCs/>
      <w:color w:val="4F81BD" w:themeColor="accent1"/>
      <w:sz w:val="18"/>
      <w:szCs w:val="18"/>
    </w:rPr>
  </w:style>
  <w:style w:type="paragraph" w:customStyle="1" w:styleId="StyleCaption11ptItalic">
    <w:name w:val="Style Caption + 11 pt Italic"/>
    <w:basedOn w:val="Caption"/>
    <w:rPr>
      <w:iCs/>
      <w:color w:val="auto"/>
      <w:sz w:val="22"/>
    </w:rPr>
  </w:style>
  <w:style w:type="paragraph" w:customStyle="1" w:styleId="StyleStyleCaption11ptItalicItalic">
    <w:name w:val="Style Style Caption + 11 pt Italic + Italic"/>
    <w:basedOn w:val="StyleCaption11ptItalic"/>
    <w:autoRedefine/>
  </w:style>
  <w:style w:type="character" w:customStyle="1" w:styleId="ListParagraphChar">
    <w:name w:val="List Paragraph Char"/>
    <w:link w:val="ListParagraph"/>
    <w:uiPriority w:val="34"/>
    <w:locked/>
    <w:rPr>
      <w:rFonts w:eastAsia="Times New Roman"/>
      <w:sz w:val="22"/>
      <w:szCs w:val="24"/>
      <w:lang w:eastAsia="hr-HR"/>
    </w:rPr>
  </w:style>
  <w:style w:type="paragraph" w:customStyle="1" w:styleId="Default">
    <w:name w:val="Default"/>
    <w:link w:val="DefaultChar"/>
    <w:pPr>
      <w:autoSpaceDE w:val="0"/>
      <w:autoSpaceDN w:val="0"/>
      <w:adjustRightInd w:val="0"/>
      <w:spacing w:after="200" w:line="276" w:lineRule="auto"/>
    </w:pPr>
    <w:rPr>
      <w:rFonts w:eastAsia="Times New Roman" w:cs="Arial"/>
      <w:color w:val="000000"/>
      <w:sz w:val="24"/>
      <w:szCs w:val="24"/>
    </w:rPr>
  </w:style>
  <w:style w:type="character" w:customStyle="1" w:styleId="DefaultChar">
    <w:name w:val="Default Char"/>
    <w:basedOn w:val="DefaultParagraphFont"/>
    <w:link w:val="Default"/>
    <w:rPr>
      <w:rFonts w:eastAsia="Times New Roman" w:cs="Arial"/>
      <w:color w:val="000000"/>
      <w:sz w:val="24"/>
      <w:szCs w:val="24"/>
      <w:lang w:eastAsia="hr-HR"/>
    </w:rPr>
  </w:style>
  <w:style w:type="character" w:customStyle="1" w:styleId="Heading1Char">
    <w:name w:val="Heading 1 Char"/>
    <w:basedOn w:val="DefaultParagraphFont"/>
    <w:link w:val="Heading1"/>
    <w:rPr>
      <w:rFonts w:eastAsia="Times New Roman"/>
      <w:b/>
      <w:caps/>
      <w:kern w:val="28"/>
      <w:sz w:val="28"/>
      <w:lang w:eastAsia="hr-HR"/>
    </w:rPr>
  </w:style>
  <w:style w:type="character" w:customStyle="1" w:styleId="Heading2Char">
    <w:name w:val="Heading 2 Char"/>
    <w:basedOn w:val="DefaultParagraphFont"/>
    <w:link w:val="Heading2"/>
    <w:rPr>
      <w:rFonts w:eastAsia="Times New Roman"/>
      <w:b/>
      <w:sz w:val="28"/>
      <w:lang w:eastAsia="hr-HR"/>
    </w:rPr>
  </w:style>
  <w:style w:type="character" w:customStyle="1" w:styleId="Heading3Char">
    <w:name w:val="Heading 3 Char"/>
    <w:basedOn w:val="DefaultParagraphFont"/>
    <w:link w:val="Heading3"/>
    <w:rPr>
      <w:rFonts w:ascii="EC Square Sans Pro" w:eastAsia="Times New Roman" w:hAnsi="EC Square Sans Pro"/>
      <w:b/>
      <w:sz w:val="24"/>
      <w:lang w:eastAsia="hr-HR"/>
    </w:rPr>
  </w:style>
  <w:style w:type="character" w:customStyle="1" w:styleId="Heading4Char">
    <w:name w:val="Heading 4 Char"/>
    <w:basedOn w:val="DefaultParagraphFont"/>
    <w:link w:val="Heading4"/>
    <w:rPr>
      <w:rFonts w:ascii="EC Square Sans Pro" w:eastAsia="Times New Roman" w:hAnsi="EC Square Sans Pro"/>
      <w:b/>
      <w:sz w:val="22"/>
      <w:lang w:eastAsia="hr-HR"/>
    </w:rPr>
  </w:style>
  <w:style w:type="character" w:customStyle="1" w:styleId="Heading5Char">
    <w:name w:val="Heading 5 Char"/>
    <w:basedOn w:val="DefaultParagraphFont"/>
    <w:link w:val="Heading5"/>
    <w:rPr>
      <w:rFonts w:ascii="EC Square Sans Pro" w:eastAsia="Times New Roman" w:hAnsi="EC Square Sans Pro"/>
      <w:b/>
      <w:lang w:eastAsia="hr-HR"/>
    </w:rPr>
  </w:style>
  <w:style w:type="character" w:customStyle="1" w:styleId="Heading6Char">
    <w:name w:val="Heading 6 Char"/>
    <w:basedOn w:val="DefaultParagraphFont"/>
    <w:link w:val="Heading6"/>
    <w:rPr>
      <w:rFonts w:ascii="EC Square Sans Pro" w:eastAsia="Times New Roman" w:hAnsi="EC Square Sans Pro"/>
      <w:lang w:eastAsia="hr-HR"/>
    </w:rPr>
  </w:style>
  <w:style w:type="character" w:customStyle="1" w:styleId="Heading7Char">
    <w:name w:val="Heading 7 Char"/>
    <w:basedOn w:val="DefaultParagraphFont"/>
    <w:link w:val="Heading7"/>
    <w:rPr>
      <w:rFonts w:ascii="EC Square Sans Pro" w:eastAsia="Times New Roman" w:hAnsi="EC Square Sans Pro"/>
      <w:i/>
      <w:szCs w:val="24"/>
    </w:rPr>
  </w:style>
  <w:style w:type="character" w:customStyle="1" w:styleId="Heading8Char">
    <w:name w:val="Heading 8 Char"/>
    <w:basedOn w:val="DefaultParagraphFont"/>
    <w:link w:val="Heading8"/>
    <w:rPr>
      <w:rFonts w:ascii="EC Square Sans Pro" w:eastAsia="Times New Roman" w:hAnsi="EC Square Sans Pro"/>
      <w:i/>
      <w:iCs/>
      <w:sz w:val="24"/>
      <w:szCs w:val="24"/>
    </w:rPr>
  </w:style>
  <w:style w:type="character" w:customStyle="1" w:styleId="Heading9Char">
    <w:name w:val="Heading 9 Char"/>
    <w:basedOn w:val="DefaultParagraphFont"/>
    <w:link w:val="Heading9"/>
    <w:rPr>
      <w:rFonts w:ascii="EC Square Sans Cond Pro" w:eastAsia="Times New Roman" w:hAnsi="EC Square Sans Cond Pro" w:cs="Arial"/>
      <w:sz w:val="22"/>
      <w:szCs w:val="22"/>
    </w:rPr>
  </w:style>
  <w:style w:type="paragraph" w:customStyle="1" w:styleId="Pagedecouverture">
    <w:name w:val="Page de couverture"/>
    <w:basedOn w:val="Normal"/>
    <w:next w:val="Normal"/>
    <w:rPr>
      <w:rFonts w:eastAsia="Calibri"/>
      <w:sz w:val="24"/>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outlineLvl w:val="0"/>
    </w:pPr>
    <w:rPr>
      <w:sz w:val="24"/>
    </w:rPr>
  </w:style>
  <w:style w:type="character" w:customStyle="1" w:styleId="FooterCoverPageChar">
    <w:name w:val="Footer Cover Page Char"/>
    <w:link w:val="FooterCoverPage"/>
    <w:rPr>
      <w:rFonts w:eastAsia="Times New Roman"/>
      <w:sz w:val="24"/>
      <w:szCs w:val="24"/>
    </w:rPr>
  </w:style>
  <w:style w:type="paragraph" w:styleId="ListBullet">
    <w:name w:val="List Bullet"/>
    <w:basedOn w:val="Normal"/>
    <w:pPr>
      <w:numPr>
        <w:numId w:val="28"/>
      </w:numPr>
      <w:spacing w:after="240"/>
    </w:pPr>
    <w:rPr>
      <w:sz w:val="24"/>
      <w:szCs w:val="20"/>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jc w:val="left"/>
    </w:pPr>
    <w:rPr>
      <w:sz w:val="24"/>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after="120"/>
    </w:pPr>
    <w:rPr>
      <w:sz w:val="24"/>
    </w:rPr>
  </w:style>
  <w:style w:type="character" w:customStyle="1" w:styleId="HeaderCoverPageChar">
    <w:name w:val="Header Cover Page Char"/>
    <w:basedOn w:val="DefaultParagraphFont"/>
    <w:link w:val="HeaderCoverPage"/>
    <w:rPr>
      <w:rFonts w:eastAsia="Times New Roman"/>
      <w:sz w:val="24"/>
      <w:szCs w:val="24"/>
    </w:rPr>
  </w:style>
  <w:style w:type="paragraph" w:customStyle="1" w:styleId="CM1">
    <w:name w:val="CM1"/>
    <w:basedOn w:val="Default"/>
    <w:next w:val="Default"/>
    <w:uiPriority w:val="99"/>
    <w:pPr>
      <w:spacing w:after="0" w:line="240" w:lineRule="auto"/>
    </w:pPr>
    <w:rPr>
      <w:rFonts w:eastAsiaTheme="minorHAnsi" w:cs="Times New Roman"/>
      <w:color w:val="auto"/>
    </w:rPr>
  </w:style>
  <w:style w:type="paragraph" w:customStyle="1" w:styleId="CM3">
    <w:name w:val="CM3"/>
    <w:basedOn w:val="Default"/>
    <w:next w:val="Default"/>
    <w:uiPriority w:val="99"/>
    <w:pPr>
      <w:spacing w:after="0" w:line="240" w:lineRule="auto"/>
    </w:pPr>
    <w:rPr>
      <w:rFonts w:eastAsiaTheme="minorHAnsi" w:cs="Times New Roman"/>
      <w:color w:val="auto"/>
    </w:rPr>
  </w:style>
  <w:style w:type="paragraph" w:customStyle="1" w:styleId="Declassification">
    <w:name w:val="Declassification"/>
    <w:basedOn w:val="Normal"/>
    <w:next w:val="Normal"/>
    <w:rPr>
      <w:rFonts w:eastAsiaTheme="minorHAnsi"/>
      <w:sz w:val="24"/>
      <w:szCs w:val="22"/>
    </w:rPr>
  </w:style>
  <w:style w:type="paragraph" w:customStyle="1" w:styleId="HeaderLandscape">
    <w:name w:val="HeaderLandscape"/>
    <w:basedOn w:val="Normal"/>
    <w:pPr>
      <w:tabs>
        <w:tab w:val="center" w:pos="7285"/>
        <w:tab w:val="right" w:pos="14003"/>
      </w:tabs>
      <w:spacing w:after="120"/>
    </w:pPr>
    <w:rPr>
      <w:rFonts w:eastAsiaTheme="minorHAnsi"/>
      <w:sz w:val="24"/>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jc w:val="left"/>
    </w:pPr>
    <w:rPr>
      <w:rFonts w:eastAsiaTheme="minorHAnsi"/>
      <w:sz w:val="24"/>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hr-HR" w:eastAsia="hr-HR" w:bidi="hr-H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2"/>
      <w:szCs w:val="24"/>
    </w:rPr>
  </w:style>
  <w:style w:type="paragraph" w:styleId="Heading1">
    <w:name w:val="heading 1"/>
    <w:basedOn w:val="Normal"/>
    <w:next w:val="Normal"/>
    <w:link w:val="Heading1Char"/>
    <w:autoRedefine/>
    <w:qFormat/>
    <w:pPr>
      <w:keepNext/>
      <w:keepLines/>
      <w:numPr>
        <w:numId w:val="20"/>
      </w:numPr>
      <w:jc w:val="left"/>
      <w:outlineLvl w:val="0"/>
    </w:pPr>
    <w:rPr>
      <w:b/>
      <w:caps/>
      <w:kern w:val="28"/>
      <w:sz w:val="28"/>
      <w:szCs w:val="20"/>
    </w:rPr>
  </w:style>
  <w:style w:type="paragraph" w:styleId="Heading2">
    <w:name w:val="heading 2"/>
    <w:basedOn w:val="Normal"/>
    <w:next w:val="Normal"/>
    <w:link w:val="Heading2Char"/>
    <w:autoRedefine/>
    <w:qFormat/>
    <w:pPr>
      <w:keepNext/>
      <w:keepLines/>
      <w:numPr>
        <w:ilvl w:val="1"/>
        <w:numId w:val="20"/>
      </w:numPr>
      <w:jc w:val="left"/>
      <w:outlineLvl w:val="1"/>
    </w:pPr>
    <w:rPr>
      <w:b/>
      <w:sz w:val="28"/>
      <w:szCs w:val="20"/>
    </w:rPr>
  </w:style>
  <w:style w:type="paragraph" w:styleId="Heading3">
    <w:name w:val="heading 3"/>
    <w:basedOn w:val="Normal"/>
    <w:next w:val="Normal"/>
    <w:link w:val="Heading3Char"/>
    <w:qFormat/>
    <w:pPr>
      <w:keepNext/>
      <w:numPr>
        <w:ilvl w:val="2"/>
        <w:numId w:val="20"/>
      </w:numPr>
      <w:jc w:val="left"/>
      <w:outlineLvl w:val="2"/>
    </w:pPr>
    <w:rPr>
      <w:rFonts w:ascii="EC Square Sans Pro" w:hAnsi="EC Square Sans Pro"/>
      <w:b/>
      <w:sz w:val="24"/>
      <w:szCs w:val="20"/>
    </w:rPr>
  </w:style>
  <w:style w:type="paragraph" w:styleId="Heading4">
    <w:name w:val="heading 4"/>
    <w:basedOn w:val="Normal"/>
    <w:next w:val="Normal"/>
    <w:link w:val="Heading4Char"/>
    <w:qFormat/>
    <w:pPr>
      <w:keepNext/>
      <w:numPr>
        <w:ilvl w:val="3"/>
        <w:numId w:val="20"/>
      </w:numPr>
      <w:jc w:val="left"/>
      <w:outlineLvl w:val="3"/>
    </w:pPr>
    <w:rPr>
      <w:rFonts w:ascii="EC Square Sans Pro" w:hAnsi="EC Square Sans Pro"/>
      <w:b/>
      <w:szCs w:val="20"/>
    </w:rPr>
  </w:style>
  <w:style w:type="paragraph" w:styleId="Heading5">
    <w:name w:val="heading 5"/>
    <w:basedOn w:val="Normal"/>
    <w:next w:val="Normal"/>
    <w:link w:val="Heading5Char"/>
    <w:qFormat/>
    <w:pPr>
      <w:keepNext/>
      <w:numPr>
        <w:ilvl w:val="4"/>
        <w:numId w:val="20"/>
      </w:numPr>
      <w:tabs>
        <w:tab w:val="left" w:pos="1701"/>
      </w:tabs>
      <w:jc w:val="left"/>
      <w:outlineLvl w:val="4"/>
    </w:pPr>
    <w:rPr>
      <w:rFonts w:ascii="EC Square Sans Pro" w:hAnsi="EC Square Sans Pro"/>
      <w:b/>
      <w:sz w:val="20"/>
      <w:szCs w:val="20"/>
    </w:rPr>
  </w:style>
  <w:style w:type="paragraph" w:styleId="Heading6">
    <w:name w:val="heading 6"/>
    <w:basedOn w:val="Normal"/>
    <w:next w:val="Normal"/>
    <w:link w:val="Heading6Char"/>
    <w:qFormat/>
    <w:pPr>
      <w:keepNext/>
      <w:numPr>
        <w:ilvl w:val="5"/>
        <w:numId w:val="20"/>
      </w:numPr>
      <w:tabs>
        <w:tab w:val="left" w:pos="1985"/>
      </w:tabs>
      <w:jc w:val="left"/>
      <w:outlineLvl w:val="5"/>
    </w:pPr>
    <w:rPr>
      <w:rFonts w:ascii="EC Square Sans Pro" w:hAnsi="EC Square Sans Pro"/>
      <w:sz w:val="20"/>
      <w:szCs w:val="20"/>
    </w:rPr>
  </w:style>
  <w:style w:type="paragraph" w:styleId="Heading7">
    <w:name w:val="heading 7"/>
    <w:basedOn w:val="Normal"/>
    <w:next w:val="Normal"/>
    <w:link w:val="Heading7Char"/>
    <w:qFormat/>
    <w:pPr>
      <w:numPr>
        <w:ilvl w:val="6"/>
        <w:numId w:val="20"/>
      </w:numPr>
      <w:tabs>
        <w:tab w:val="left" w:pos="2268"/>
      </w:tabs>
      <w:outlineLvl w:val="6"/>
    </w:pPr>
    <w:rPr>
      <w:rFonts w:ascii="EC Square Sans Pro" w:hAnsi="EC Square Sans Pro"/>
      <w:i/>
      <w:sz w:val="20"/>
    </w:rPr>
  </w:style>
  <w:style w:type="paragraph" w:styleId="Heading8">
    <w:name w:val="heading 8"/>
    <w:basedOn w:val="Normal"/>
    <w:next w:val="Normal"/>
    <w:link w:val="Heading8Char"/>
    <w:qFormat/>
    <w:pPr>
      <w:numPr>
        <w:ilvl w:val="7"/>
        <w:numId w:val="20"/>
      </w:numPr>
      <w:spacing w:before="240" w:after="60"/>
      <w:outlineLvl w:val="7"/>
    </w:pPr>
    <w:rPr>
      <w:rFonts w:ascii="EC Square Sans Pro" w:hAnsi="EC Square Sans Pro"/>
      <w:i/>
      <w:iCs/>
      <w:sz w:val="24"/>
    </w:rPr>
  </w:style>
  <w:style w:type="paragraph" w:styleId="Heading9">
    <w:name w:val="heading 9"/>
    <w:basedOn w:val="Normal"/>
    <w:next w:val="Normal"/>
    <w:link w:val="Heading9Char"/>
    <w:qFormat/>
    <w:pPr>
      <w:numPr>
        <w:ilvl w:val="8"/>
        <w:numId w:val="20"/>
      </w:numPr>
      <w:spacing w:before="240" w:after="60"/>
      <w:outlineLvl w:val="8"/>
    </w:pPr>
    <w:rPr>
      <w:rFonts w:ascii="EC Square Sans Cond Pro" w:hAnsi="EC Square Sans Cond Pro"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ind w:left="7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eastAsia="hr-HR"/>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eastAsia="Times New Roman"/>
      <w:lang w:eastAsia="hr-HR"/>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Times New Roman"/>
      <w:b/>
      <w:bCs/>
      <w:lang w:eastAsia="hr-HR"/>
    </w:rPr>
  </w:style>
  <w:style w:type="paragraph" w:styleId="Revision">
    <w:name w:val="Revision"/>
    <w:hidden/>
    <w:uiPriority w:val="99"/>
    <w:semiHidden/>
    <w:rPr>
      <w:rFonts w:eastAsia="Times New Roman"/>
      <w:sz w:val="24"/>
      <w:szCs w:val="24"/>
    </w:rPr>
  </w:style>
  <w:style w:type="paragraph" w:styleId="FootnoteText">
    <w:name w:val="footnote text"/>
    <w:aliases w:val="IFZ f,Fußnote,-E Fußnotentext,footnote text,Fußnotentext Ursprung,Reference,Geneva 9,Font: Geneva 9,Boston 10,f,Footnotetext,f Char Char,f Char"/>
    <w:basedOn w:val="Normal"/>
    <w:link w:val="FootnoteTextChar"/>
    <w:uiPriority w:val="99"/>
    <w:qFormat/>
    <w:pPr>
      <w:ind w:left="720" w:hanging="720"/>
    </w:pPr>
    <w:rPr>
      <w:sz w:val="20"/>
      <w:szCs w:val="20"/>
    </w:rPr>
  </w:style>
  <w:style w:type="character" w:customStyle="1" w:styleId="FootnoteTextChar">
    <w:name w:val="Footnote Text Char"/>
    <w:aliases w:val="IFZ f Char,Fußnote Char,-E Fußnotentext Char,footnote text Char,Fußnotentext Ursprung Char,Reference Char,Geneva 9 Char,Font: Geneva 9 Char,Boston 10 Char,f Char1,Footnotetext Char,f Char Char Char,f Char Char1"/>
    <w:basedOn w:val="DefaultParagraphFont"/>
    <w:link w:val="FootnoteText"/>
    <w:uiPriority w:val="99"/>
    <w:rPr>
      <w:rFonts w:eastAsia="Times New Roman"/>
    </w:rPr>
  </w:style>
  <w:style w:type="character" w:styleId="FootnoteReference">
    <w:name w:val="footnote reference"/>
    <w:aliases w:val="stylish,number,SUPERS,Footnote symbol,Footnote,Times 10 Point,Exposant 3 Point,Ref,de nota al pie,Footnote reference number,note TESI,EN Footnote Reference,-E Fußnotenzeichen"/>
    <w:uiPriority w:val="99"/>
    <w:qFormat/>
    <w:rPr>
      <w:shd w:val="clear" w:color="auto" w:fill="auto"/>
      <w:vertAlign w:val="superscript"/>
    </w:rPr>
  </w:style>
  <w:style w:type="paragraph" w:customStyle="1" w:styleId="Point0number">
    <w:name w:val="Point 0 (number)"/>
    <w:basedOn w:val="Normal"/>
    <w:uiPriority w:val="99"/>
    <w:pPr>
      <w:numPr>
        <w:numId w:val="6"/>
      </w:numPr>
      <w:spacing w:before="120" w:after="120"/>
    </w:pPr>
  </w:style>
  <w:style w:type="paragraph" w:customStyle="1" w:styleId="Point1number">
    <w:name w:val="Point 1 (number)"/>
    <w:basedOn w:val="Normal"/>
    <w:uiPriority w:val="99"/>
    <w:pPr>
      <w:numPr>
        <w:ilvl w:val="2"/>
        <w:numId w:val="6"/>
      </w:numPr>
      <w:spacing w:before="120" w:after="120"/>
    </w:pPr>
  </w:style>
  <w:style w:type="paragraph" w:customStyle="1" w:styleId="Point2number">
    <w:name w:val="Point 2 (number)"/>
    <w:basedOn w:val="Normal"/>
    <w:pPr>
      <w:numPr>
        <w:ilvl w:val="4"/>
        <w:numId w:val="6"/>
      </w:numPr>
      <w:spacing w:before="120" w:after="120"/>
    </w:pPr>
  </w:style>
  <w:style w:type="paragraph" w:customStyle="1" w:styleId="Point3number">
    <w:name w:val="Point 3 (number)"/>
    <w:basedOn w:val="Normal"/>
    <w:pPr>
      <w:numPr>
        <w:ilvl w:val="6"/>
        <w:numId w:val="6"/>
      </w:numPr>
      <w:spacing w:before="120" w:after="120"/>
    </w:pPr>
  </w:style>
  <w:style w:type="paragraph" w:customStyle="1" w:styleId="Point0letter">
    <w:name w:val="Point 0 (letter)"/>
    <w:basedOn w:val="Normal"/>
    <w:pPr>
      <w:numPr>
        <w:ilvl w:val="1"/>
        <w:numId w:val="6"/>
      </w:numPr>
      <w:spacing w:before="120" w:after="120"/>
    </w:pPr>
  </w:style>
  <w:style w:type="paragraph" w:customStyle="1" w:styleId="Point1letter">
    <w:name w:val="Point 1 (letter)"/>
    <w:basedOn w:val="Normal"/>
    <w:uiPriority w:val="99"/>
    <w:pPr>
      <w:numPr>
        <w:ilvl w:val="3"/>
        <w:numId w:val="6"/>
      </w:numPr>
      <w:spacing w:before="120" w:after="120"/>
    </w:pPr>
  </w:style>
  <w:style w:type="paragraph" w:customStyle="1" w:styleId="Point2letter">
    <w:name w:val="Point 2 (letter)"/>
    <w:basedOn w:val="Normal"/>
    <w:pPr>
      <w:numPr>
        <w:ilvl w:val="5"/>
        <w:numId w:val="6"/>
      </w:numPr>
      <w:spacing w:before="120" w:after="120"/>
    </w:pPr>
  </w:style>
  <w:style w:type="paragraph" w:customStyle="1" w:styleId="Point3letter">
    <w:name w:val="Point 3 (letter)"/>
    <w:basedOn w:val="Normal"/>
    <w:pPr>
      <w:numPr>
        <w:ilvl w:val="7"/>
        <w:numId w:val="6"/>
      </w:numPr>
      <w:spacing w:before="120" w:after="120"/>
    </w:pPr>
  </w:style>
  <w:style w:type="paragraph" w:customStyle="1" w:styleId="Point4letter">
    <w:name w:val="Point 4 (letter)"/>
    <w:basedOn w:val="Normal"/>
    <w:uiPriority w:val="99"/>
    <w:pPr>
      <w:numPr>
        <w:ilvl w:val="8"/>
        <w:numId w:val="6"/>
      </w:numPr>
      <w:spacing w:before="120" w:after="120"/>
    </w:pPr>
  </w:style>
  <w:style w:type="paragraph" w:styleId="Footer">
    <w:name w:val="footer"/>
    <w:basedOn w:val="Normal"/>
    <w:link w:val="FooterChar"/>
    <w:uiPriority w:val="99"/>
    <w:unhideWhenUsed/>
    <w:pPr>
      <w:tabs>
        <w:tab w:val="center" w:pos="4535"/>
        <w:tab w:val="right" w:pos="9071"/>
        <w:tab w:val="right" w:pos="9921"/>
      </w:tabs>
      <w:spacing w:before="360"/>
      <w:ind w:left="-850" w:right="-850"/>
      <w:jc w:val="left"/>
    </w:pPr>
    <w:rPr>
      <w:rFonts w:eastAsiaTheme="minorHAnsi"/>
      <w:sz w:val="24"/>
      <w:szCs w:val="22"/>
    </w:rPr>
  </w:style>
  <w:style w:type="character" w:customStyle="1" w:styleId="FooterChar">
    <w:name w:val="Footer Char"/>
    <w:basedOn w:val="DefaultParagraphFont"/>
    <w:link w:val="Footer"/>
    <w:uiPriority w:val="99"/>
    <w:rPr>
      <w:sz w:val="24"/>
      <w:szCs w:val="22"/>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
    <w:name w:val="Macro Text Char"/>
    <w:basedOn w:val="DefaultParagraphFont"/>
    <w:link w:val="MacroText"/>
    <w:rPr>
      <w:rFonts w:ascii="Courier New" w:eastAsia="Times New Roman" w:hAnsi="Courier New"/>
    </w:rPr>
  </w:style>
  <w:style w:type="paragraph" w:styleId="BodyText">
    <w:name w:val="Body Text"/>
    <w:basedOn w:val="Normal"/>
    <w:link w:val="BodyTextChar"/>
    <w:rPr>
      <w:rFonts w:ascii="Arial" w:hAnsi="Arial" w:cs="Arial"/>
      <w:sz w:val="20"/>
      <w:szCs w:val="20"/>
    </w:rPr>
  </w:style>
  <w:style w:type="character" w:customStyle="1" w:styleId="BodyTextChar">
    <w:name w:val="Body Text Char"/>
    <w:basedOn w:val="DefaultParagraphFont"/>
    <w:link w:val="BodyText"/>
    <w:rPr>
      <w:rFonts w:ascii="Arial" w:eastAsia="Times New Roman" w:hAnsi="Arial" w:cs="Arial"/>
    </w:rPr>
  </w:style>
  <w:style w:type="paragraph" w:styleId="Header">
    <w:name w:val="header"/>
    <w:basedOn w:val="Normal"/>
    <w:link w:val="HeaderChar"/>
    <w:uiPriority w:val="99"/>
    <w:unhideWhenUsed/>
    <w:pPr>
      <w:tabs>
        <w:tab w:val="center" w:pos="4535"/>
        <w:tab w:val="right" w:pos="9071"/>
      </w:tabs>
      <w:spacing w:after="120"/>
    </w:pPr>
    <w:rPr>
      <w:rFonts w:eastAsiaTheme="minorHAnsi"/>
      <w:sz w:val="24"/>
      <w:szCs w:val="22"/>
    </w:rPr>
  </w:style>
  <w:style w:type="character" w:customStyle="1" w:styleId="HeaderChar">
    <w:name w:val="Header Char"/>
    <w:basedOn w:val="DefaultParagraphFont"/>
    <w:link w:val="Header"/>
    <w:uiPriority w:val="99"/>
    <w:rPr>
      <w:sz w:val="24"/>
      <w:szCs w:val="22"/>
    </w:rPr>
  </w:style>
  <w:style w:type="paragraph" w:styleId="Caption">
    <w:name w:val="caption"/>
    <w:basedOn w:val="Normal"/>
    <w:next w:val="Normal"/>
    <w:unhideWhenUsed/>
    <w:qFormat/>
    <w:pPr>
      <w:spacing w:after="200"/>
    </w:pPr>
    <w:rPr>
      <w:b/>
      <w:bCs/>
      <w:color w:val="4F81BD" w:themeColor="accent1"/>
      <w:sz w:val="18"/>
      <w:szCs w:val="18"/>
    </w:rPr>
  </w:style>
  <w:style w:type="paragraph" w:customStyle="1" w:styleId="StyleCaption11ptItalic">
    <w:name w:val="Style Caption + 11 pt Italic"/>
    <w:basedOn w:val="Caption"/>
    <w:rPr>
      <w:iCs/>
      <w:color w:val="auto"/>
      <w:sz w:val="22"/>
    </w:rPr>
  </w:style>
  <w:style w:type="paragraph" w:customStyle="1" w:styleId="StyleStyleCaption11ptItalicItalic">
    <w:name w:val="Style Style Caption + 11 pt Italic + Italic"/>
    <w:basedOn w:val="StyleCaption11ptItalic"/>
    <w:autoRedefine/>
  </w:style>
  <w:style w:type="character" w:customStyle="1" w:styleId="ListParagraphChar">
    <w:name w:val="List Paragraph Char"/>
    <w:link w:val="ListParagraph"/>
    <w:uiPriority w:val="34"/>
    <w:locked/>
    <w:rPr>
      <w:rFonts w:eastAsia="Times New Roman"/>
      <w:sz w:val="22"/>
      <w:szCs w:val="24"/>
      <w:lang w:eastAsia="hr-HR"/>
    </w:rPr>
  </w:style>
  <w:style w:type="paragraph" w:customStyle="1" w:styleId="Default">
    <w:name w:val="Default"/>
    <w:link w:val="DefaultChar"/>
    <w:pPr>
      <w:autoSpaceDE w:val="0"/>
      <w:autoSpaceDN w:val="0"/>
      <w:adjustRightInd w:val="0"/>
      <w:spacing w:after="200" w:line="276" w:lineRule="auto"/>
    </w:pPr>
    <w:rPr>
      <w:rFonts w:eastAsia="Times New Roman" w:cs="Arial"/>
      <w:color w:val="000000"/>
      <w:sz w:val="24"/>
      <w:szCs w:val="24"/>
    </w:rPr>
  </w:style>
  <w:style w:type="character" w:customStyle="1" w:styleId="DefaultChar">
    <w:name w:val="Default Char"/>
    <w:basedOn w:val="DefaultParagraphFont"/>
    <w:link w:val="Default"/>
    <w:rPr>
      <w:rFonts w:eastAsia="Times New Roman" w:cs="Arial"/>
      <w:color w:val="000000"/>
      <w:sz w:val="24"/>
      <w:szCs w:val="24"/>
      <w:lang w:eastAsia="hr-HR"/>
    </w:rPr>
  </w:style>
  <w:style w:type="character" w:customStyle="1" w:styleId="Heading1Char">
    <w:name w:val="Heading 1 Char"/>
    <w:basedOn w:val="DefaultParagraphFont"/>
    <w:link w:val="Heading1"/>
    <w:rPr>
      <w:rFonts w:eastAsia="Times New Roman"/>
      <w:b/>
      <w:caps/>
      <w:kern w:val="28"/>
      <w:sz w:val="28"/>
      <w:lang w:eastAsia="hr-HR"/>
    </w:rPr>
  </w:style>
  <w:style w:type="character" w:customStyle="1" w:styleId="Heading2Char">
    <w:name w:val="Heading 2 Char"/>
    <w:basedOn w:val="DefaultParagraphFont"/>
    <w:link w:val="Heading2"/>
    <w:rPr>
      <w:rFonts w:eastAsia="Times New Roman"/>
      <w:b/>
      <w:sz w:val="28"/>
      <w:lang w:eastAsia="hr-HR"/>
    </w:rPr>
  </w:style>
  <w:style w:type="character" w:customStyle="1" w:styleId="Heading3Char">
    <w:name w:val="Heading 3 Char"/>
    <w:basedOn w:val="DefaultParagraphFont"/>
    <w:link w:val="Heading3"/>
    <w:rPr>
      <w:rFonts w:ascii="EC Square Sans Pro" w:eastAsia="Times New Roman" w:hAnsi="EC Square Sans Pro"/>
      <w:b/>
      <w:sz w:val="24"/>
      <w:lang w:eastAsia="hr-HR"/>
    </w:rPr>
  </w:style>
  <w:style w:type="character" w:customStyle="1" w:styleId="Heading4Char">
    <w:name w:val="Heading 4 Char"/>
    <w:basedOn w:val="DefaultParagraphFont"/>
    <w:link w:val="Heading4"/>
    <w:rPr>
      <w:rFonts w:ascii="EC Square Sans Pro" w:eastAsia="Times New Roman" w:hAnsi="EC Square Sans Pro"/>
      <w:b/>
      <w:sz w:val="22"/>
      <w:lang w:eastAsia="hr-HR"/>
    </w:rPr>
  </w:style>
  <w:style w:type="character" w:customStyle="1" w:styleId="Heading5Char">
    <w:name w:val="Heading 5 Char"/>
    <w:basedOn w:val="DefaultParagraphFont"/>
    <w:link w:val="Heading5"/>
    <w:rPr>
      <w:rFonts w:ascii="EC Square Sans Pro" w:eastAsia="Times New Roman" w:hAnsi="EC Square Sans Pro"/>
      <w:b/>
      <w:lang w:eastAsia="hr-HR"/>
    </w:rPr>
  </w:style>
  <w:style w:type="character" w:customStyle="1" w:styleId="Heading6Char">
    <w:name w:val="Heading 6 Char"/>
    <w:basedOn w:val="DefaultParagraphFont"/>
    <w:link w:val="Heading6"/>
    <w:rPr>
      <w:rFonts w:ascii="EC Square Sans Pro" w:eastAsia="Times New Roman" w:hAnsi="EC Square Sans Pro"/>
      <w:lang w:eastAsia="hr-HR"/>
    </w:rPr>
  </w:style>
  <w:style w:type="character" w:customStyle="1" w:styleId="Heading7Char">
    <w:name w:val="Heading 7 Char"/>
    <w:basedOn w:val="DefaultParagraphFont"/>
    <w:link w:val="Heading7"/>
    <w:rPr>
      <w:rFonts w:ascii="EC Square Sans Pro" w:eastAsia="Times New Roman" w:hAnsi="EC Square Sans Pro"/>
      <w:i/>
      <w:szCs w:val="24"/>
    </w:rPr>
  </w:style>
  <w:style w:type="character" w:customStyle="1" w:styleId="Heading8Char">
    <w:name w:val="Heading 8 Char"/>
    <w:basedOn w:val="DefaultParagraphFont"/>
    <w:link w:val="Heading8"/>
    <w:rPr>
      <w:rFonts w:ascii="EC Square Sans Pro" w:eastAsia="Times New Roman" w:hAnsi="EC Square Sans Pro"/>
      <w:i/>
      <w:iCs/>
      <w:sz w:val="24"/>
      <w:szCs w:val="24"/>
    </w:rPr>
  </w:style>
  <w:style w:type="character" w:customStyle="1" w:styleId="Heading9Char">
    <w:name w:val="Heading 9 Char"/>
    <w:basedOn w:val="DefaultParagraphFont"/>
    <w:link w:val="Heading9"/>
    <w:rPr>
      <w:rFonts w:ascii="EC Square Sans Cond Pro" w:eastAsia="Times New Roman" w:hAnsi="EC Square Sans Cond Pro" w:cs="Arial"/>
      <w:sz w:val="22"/>
      <w:szCs w:val="22"/>
    </w:rPr>
  </w:style>
  <w:style w:type="paragraph" w:customStyle="1" w:styleId="Pagedecouverture">
    <w:name w:val="Page de couverture"/>
    <w:basedOn w:val="Normal"/>
    <w:next w:val="Normal"/>
    <w:rPr>
      <w:rFonts w:eastAsia="Calibri"/>
      <w:sz w:val="24"/>
      <w:szCs w:val="22"/>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jc w:val="left"/>
      <w:outlineLvl w:val="0"/>
    </w:pPr>
    <w:rPr>
      <w:sz w:val="24"/>
    </w:rPr>
  </w:style>
  <w:style w:type="character" w:customStyle="1" w:styleId="FooterCoverPageChar">
    <w:name w:val="Footer Cover Page Char"/>
    <w:link w:val="FooterCoverPage"/>
    <w:rPr>
      <w:rFonts w:eastAsia="Times New Roman"/>
      <w:sz w:val="24"/>
      <w:szCs w:val="24"/>
    </w:rPr>
  </w:style>
  <w:style w:type="paragraph" w:styleId="ListBullet">
    <w:name w:val="List Bullet"/>
    <w:basedOn w:val="Normal"/>
    <w:pPr>
      <w:numPr>
        <w:numId w:val="28"/>
      </w:numPr>
      <w:spacing w:after="240"/>
    </w:pPr>
    <w:rPr>
      <w:sz w:val="24"/>
      <w:szCs w:val="20"/>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jc w:val="left"/>
    </w:pPr>
    <w:rPr>
      <w:sz w:val="24"/>
    </w:rPr>
  </w:style>
  <w:style w:type="character" w:customStyle="1" w:styleId="Marker">
    <w:name w:val="Marker"/>
    <w:basedOn w:val="DefaultParagraphFont"/>
    <w:rPr>
      <w:color w:val="0000FF"/>
      <w:shd w:val="clear" w:color="auto" w:fill="auto"/>
    </w:rPr>
  </w:style>
  <w:style w:type="paragraph" w:customStyle="1" w:styleId="HeaderCoverPage">
    <w:name w:val="Header Cover Page"/>
    <w:basedOn w:val="Normal"/>
    <w:link w:val="HeaderCoverPageChar"/>
    <w:pPr>
      <w:tabs>
        <w:tab w:val="center" w:pos="4535"/>
        <w:tab w:val="right" w:pos="9071"/>
      </w:tabs>
      <w:spacing w:after="120"/>
    </w:pPr>
    <w:rPr>
      <w:sz w:val="24"/>
    </w:rPr>
  </w:style>
  <w:style w:type="character" w:customStyle="1" w:styleId="HeaderCoverPageChar">
    <w:name w:val="Header Cover Page Char"/>
    <w:basedOn w:val="DefaultParagraphFont"/>
    <w:link w:val="HeaderCoverPage"/>
    <w:rPr>
      <w:rFonts w:eastAsia="Times New Roman"/>
      <w:sz w:val="24"/>
      <w:szCs w:val="24"/>
    </w:rPr>
  </w:style>
  <w:style w:type="paragraph" w:customStyle="1" w:styleId="CM1">
    <w:name w:val="CM1"/>
    <w:basedOn w:val="Default"/>
    <w:next w:val="Default"/>
    <w:uiPriority w:val="99"/>
    <w:pPr>
      <w:spacing w:after="0" w:line="240" w:lineRule="auto"/>
    </w:pPr>
    <w:rPr>
      <w:rFonts w:eastAsiaTheme="minorHAnsi" w:cs="Times New Roman"/>
      <w:color w:val="auto"/>
    </w:rPr>
  </w:style>
  <w:style w:type="paragraph" w:customStyle="1" w:styleId="CM3">
    <w:name w:val="CM3"/>
    <w:basedOn w:val="Default"/>
    <w:next w:val="Default"/>
    <w:uiPriority w:val="99"/>
    <w:pPr>
      <w:spacing w:after="0" w:line="240" w:lineRule="auto"/>
    </w:pPr>
    <w:rPr>
      <w:rFonts w:eastAsiaTheme="minorHAnsi" w:cs="Times New Roman"/>
      <w:color w:val="auto"/>
    </w:rPr>
  </w:style>
  <w:style w:type="paragraph" w:customStyle="1" w:styleId="Declassification">
    <w:name w:val="Declassification"/>
    <w:basedOn w:val="Normal"/>
    <w:next w:val="Normal"/>
    <w:rPr>
      <w:rFonts w:eastAsiaTheme="minorHAnsi"/>
      <w:sz w:val="24"/>
      <w:szCs w:val="22"/>
    </w:rPr>
  </w:style>
  <w:style w:type="paragraph" w:customStyle="1" w:styleId="HeaderLandscape">
    <w:name w:val="HeaderLandscape"/>
    <w:basedOn w:val="Normal"/>
    <w:pPr>
      <w:tabs>
        <w:tab w:val="center" w:pos="7285"/>
        <w:tab w:val="right" w:pos="14003"/>
      </w:tabs>
      <w:spacing w:after="120"/>
    </w:pPr>
    <w:rPr>
      <w:rFonts w:eastAsiaTheme="minorHAnsi"/>
      <w:sz w:val="24"/>
      <w:szCs w:val="22"/>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paragraph" w:customStyle="1" w:styleId="FooterLandscape">
    <w:name w:val="FooterLandscape"/>
    <w:basedOn w:val="Normal"/>
    <w:pPr>
      <w:tabs>
        <w:tab w:val="center" w:pos="7285"/>
        <w:tab w:val="center" w:pos="10913"/>
        <w:tab w:val="right" w:pos="15137"/>
      </w:tabs>
      <w:spacing w:before="360"/>
      <w:ind w:left="-567" w:right="-567"/>
      <w:jc w:val="left"/>
    </w:pPr>
    <w:rPr>
      <w:rFonts w:eastAsiaTheme="minorHAnsi"/>
      <w:sz w:val="24"/>
      <w:szCs w:val="2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09900">
      <w:bodyDiv w:val="1"/>
      <w:marLeft w:val="0"/>
      <w:marRight w:val="0"/>
      <w:marTop w:val="0"/>
      <w:marBottom w:val="0"/>
      <w:divBdr>
        <w:top w:val="none" w:sz="0" w:space="0" w:color="auto"/>
        <w:left w:val="none" w:sz="0" w:space="0" w:color="auto"/>
        <w:bottom w:val="none" w:sz="0" w:space="0" w:color="auto"/>
        <w:right w:val="none" w:sz="0" w:space="0" w:color="auto"/>
      </w:divBdr>
    </w:div>
    <w:div w:id="64761785">
      <w:bodyDiv w:val="1"/>
      <w:marLeft w:val="0"/>
      <w:marRight w:val="0"/>
      <w:marTop w:val="0"/>
      <w:marBottom w:val="0"/>
      <w:divBdr>
        <w:top w:val="none" w:sz="0" w:space="0" w:color="auto"/>
        <w:left w:val="none" w:sz="0" w:space="0" w:color="auto"/>
        <w:bottom w:val="none" w:sz="0" w:space="0" w:color="auto"/>
        <w:right w:val="none" w:sz="0" w:space="0" w:color="auto"/>
      </w:divBdr>
    </w:div>
    <w:div w:id="167017023">
      <w:bodyDiv w:val="1"/>
      <w:marLeft w:val="0"/>
      <w:marRight w:val="0"/>
      <w:marTop w:val="0"/>
      <w:marBottom w:val="0"/>
      <w:divBdr>
        <w:top w:val="none" w:sz="0" w:space="0" w:color="auto"/>
        <w:left w:val="none" w:sz="0" w:space="0" w:color="auto"/>
        <w:bottom w:val="none" w:sz="0" w:space="0" w:color="auto"/>
        <w:right w:val="none" w:sz="0" w:space="0" w:color="auto"/>
      </w:divBdr>
    </w:div>
    <w:div w:id="221451679">
      <w:bodyDiv w:val="1"/>
      <w:marLeft w:val="0"/>
      <w:marRight w:val="0"/>
      <w:marTop w:val="0"/>
      <w:marBottom w:val="0"/>
      <w:divBdr>
        <w:top w:val="none" w:sz="0" w:space="0" w:color="auto"/>
        <w:left w:val="none" w:sz="0" w:space="0" w:color="auto"/>
        <w:bottom w:val="none" w:sz="0" w:space="0" w:color="auto"/>
        <w:right w:val="none" w:sz="0" w:space="0" w:color="auto"/>
      </w:divBdr>
    </w:div>
    <w:div w:id="425464568">
      <w:bodyDiv w:val="1"/>
      <w:marLeft w:val="0"/>
      <w:marRight w:val="0"/>
      <w:marTop w:val="0"/>
      <w:marBottom w:val="0"/>
      <w:divBdr>
        <w:top w:val="none" w:sz="0" w:space="0" w:color="auto"/>
        <w:left w:val="none" w:sz="0" w:space="0" w:color="auto"/>
        <w:bottom w:val="none" w:sz="0" w:space="0" w:color="auto"/>
        <w:right w:val="none" w:sz="0" w:space="0" w:color="auto"/>
      </w:divBdr>
    </w:div>
    <w:div w:id="812525601">
      <w:bodyDiv w:val="1"/>
      <w:marLeft w:val="0"/>
      <w:marRight w:val="0"/>
      <w:marTop w:val="0"/>
      <w:marBottom w:val="0"/>
      <w:divBdr>
        <w:top w:val="none" w:sz="0" w:space="0" w:color="auto"/>
        <w:left w:val="none" w:sz="0" w:space="0" w:color="auto"/>
        <w:bottom w:val="none" w:sz="0" w:space="0" w:color="auto"/>
        <w:right w:val="none" w:sz="0" w:space="0" w:color="auto"/>
      </w:divBdr>
      <w:divsChild>
        <w:div w:id="1613659413">
          <w:marLeft w:val="0"/>
          <w:marRight w:val="0"/>
          <w:marTop w:val="0"/>
          <w:marBottom w:val="0"/>
          <w:divBdr>
            <w:top w:val="none" w:sz="0" w:space="0" w:color="auto"/>
            <w:left w:val="none" w:sz="0" w:space="0" w:color="auto"/>
            <w:bottom w:val="none" w:sz="0" w:space="0" w:color="auto"/>
            <w:right w:val="none" w:sz="0" w:space="0" w:color="auto"/>
          </w:divBdr>
          <w:divsChild>
            <w:div w:id="247815430">
              <w:marLeft w:val="0"/>
              <w:marRight w:val="0"/>
              <w:marTop w:val="0"/>
              <w:marBottom w:val="0"/>
              <w:divBdr>
                <w:top w:val="none" w:sz="0" w:space="0" w:color="auto"/>
                <w:left w:val="none" w:sz="0" w:space="0" w:color="auto"/>
                <w:bottom w:val="none" w:sz="0" w:space="0" w:color="auto"/>
                <w:right w:val="none" w:sz="0" w:space="0" w:color="auto"/>
              </w:divBdr>
              <w:divsChild>
                <w:div w:id="321204745">
                  <w:marLeft w:val="0"/>
                  <w:marRight w:val="0"/>
                  <w:marTop w:val="0"/>
                  <w:marBottom w:val="0"/>
                  <w:divBdr>
                    <w:top w:val="none" w:sz="0" w:space="0" w:color="auto"/>
                    <w:left w:val="none" w:sz="0" w:space="0" w:color="auto"/>
                    <w:bottom w:val="none" w:sz="0" w:space="0" w:color="auto"/>
                    <w:right w:val="none" w:sz="0" w:space="0" w:color="auto"/>
                  </w:divBdr>
                  <w:divsChild>
                    <w:div w:id="33117304">
                      <w:marLeft w:val="0"/>
                      <w:marRight w:val="0"/>
                      <w:marTop w:val="0"/>
                      <w:marBottom w:val="0"/>
                      <w:divBdr>
                        <w:top w:val="none" w:sz="0" w:space="0" w:color="auto"/>
                        <w:left w:val="none" w:sz="0" w:space="0" w:color="auto"/>
                        <w:bottom w:val="none" w:sz="0" w:space="0" w:color="auto"/>
                        <w:right w:val="none" w:sz="0" w:space="0" w:color="auto"/>
                      </w:divBdr>
                      <w:divsChild>
                        <w:div w:id="962032094">
                          <w:marLeft w:val="0"/>
                          <w:marRight w:val="0"/>
                          <w:marTop w:val="0"/>
                          <w:marBottom w:val="0"/>
                          <w:divBdr>
                            <w:top w:val="none" w:sz="0" w:space="0" w:color="auto"/>
                            <w:left w:val="none" w:sz="0" w:space="0" w:color="auto"/>
                            <w:bottom w:val="none" w:sz="0" w:space="0" w:color="auto"/>
                            <w:right w:val="none" w:sz="0" w:space="0" w:color="auto"/>
                          </w:divBdr>
                          <w:divsChild>
                            <w:div w:id="322241651">
                              <w:marLeft w:val="0"/>
                              <w:marRight w:val="0"/>
                              <w:marTop w:val="0"/>
                              <w:marBottom w:val="0"/>
                              <w:divBdr>
                                <w:top w:val="none" w:sz="0" w:space="0" w:color="auto"/>
                                <w:left w:val="none" w:sz="0" w:space="0" w:color="auto"/>
                                <w:bottom w:val="none" w:sz="0" w:space="0" w:color="auto"/>
                                <w:right w:val="none" w:sz="0" w:space="0" w:color="auto"/>
                              </w:divBdr>
                              <w:divsChild>
                                <w:div w:id="337318824">
                                  <w:marLeft w:val="0"/>
                                  <w:marRight w:val="0"/>
                                  <w:marTop w:val="0"/>
                                  <w:marBottom w:val="0"/>
                                  <w:divBdr>
                                    <w:top w:val="none" w:sz="0" w:space="0" w:color="auto"/>
                                    <w:left w:val="none" w:sz="0" w:space="0" w:color="auto"/>
                                    <w:bottom w:val="none" w:sz="0" w:space="0" w:color="auto"/>
                                    <w:right w:val="none" w:sz="0" w:space="0" w:color="auto"/>
                                  </w:divBdr>
                                  <w:divsChild>
                                    <w:div w:id="1506675116">
                                      <w:marLeft w:val="0"/>
                                      <w:marRight w:val="0"/>
                                      <w:marTop w:val="0"/>
                                      <w:marBottom w:val="0"/>
                                      <w:divBdr>
                                        <w:top w:val="none" w:sz="0" w:space="0" w:color="auto"/>
                                        <w:left w:val="none" w:sz="0" w:space="0" w:color="auto"/>
                                        <w:bottom w:val="none" w:sz="0" w:space="0" w:color="auto"/>
                                        <w:right w:val="none" w:sz="0" w:space="0" w:color="auto"/>
                                      </w:divBdr>
                                      <w:divsChild>
                                        <w:div w:id="1373383685">
                                          <w:marLeft w:val="0"/>
                                          <w:marRight w:val="0"/>
                                          <w:marTop w:val="0"/>
                                          <w:marBottom w:val="225"/>
                                          <w:divBdr>
                                            <w:top w:val="none" w:sz="0" w:space="0" w:color="auto"/>
                                            <w:left w:val="none" w:sz="0" w:space="0" w:color="auto"/>
                                            <w:bottom w:val="none" w:sz="0" w:space="0" w:color="auto"/>
                                            <w:right w:val="none" w:sz="0" w:space="0" w:color="auto"/>
                                          </w:divBdr>
                                          <w:divsChild>
                                            <w:div w:id="1415198325">
                                              <w:marLeft w:val="0"/>
                                              <w:marRight w:val="0"/>
                                              <w:marTop w:val="0"/>
                                              <w:marBottom w:val="0"/>
                                              <w:divBdr>
                                                <w:top w:val="none" w:sz="0" w:space="0" w:color="auto"/>
                                                <w:left w:val="none" w:sz="0" w:space="0" w:color="auto"/>
                                                <w:bottom w:val="none" w:sz="0" w:space="0" w:color="auto"/>
                                                <w:right w:val="none" w:sz="0" w:space="0" w:color="auto"/>
                                              </w:divBdr>
                                              <w:divsChild>
                                                <w:div w:id="1962614581">
                                                  <w:marLeft w:val="0"/>
                                                  <w:marRight w:val="0"/>
                                                  <w:marTop w:val="0"/>
                                                  <w:marBottom w:val="0"/>
                                                  <w:divBdr>
                                                    <w:top w:val="none" w:sz="0" w:space="0" w:color="auto"/>
                                                    <w:left w:val="none" w:sz="0" w:space="0" w:color="auto"/>
                                                    <w:bottom w:val="none" w:sz="0" w:space="0" w:color="auto"/>
                                                    <w:right w:val="none" w:sz="0" w:space="0" w:color="auto"/>
                                                  </w:divBdr>
                                                  <w:divsChild>
                                                    <w:div w:id="833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655115">
      <w:bodyDiv w:val="1"/>
      <w:marLeft w:val="0"/>
      <w:marRight w:val="0"/>
      <w:marTop w:val="0"/>
      <w:marBottom w:val="0"/>
      <w:divBdr>
        <w:top w:val="none" w:sz="0" w:space="0" w:color="auto"/>
        <w:left w:val="none" w:sz="0" w:space="0" w:color="auto"/>
        <w:bottom w:val="none" w:sz="0" w:space="0" w:color="auto"/>
        <w:right w:val="none" w:sz="0" w:space="0" w:color="auto"/>
      </w:divBdr>
    </w:div>
    <w:div w:id="1022243715">
      <w:bodyDiv w:val="1"/>
      <w:marLeft w:val="0"/>
      <w:marRight w:val="0"/>
      <w:marTop w:val="0"/>
      <w:marBottom w:val="0"/>
      <w:divBdr>
        <w:top w:val="none" w:sz="0" w:space="0" w:color="auto"/>
        <w:left w:val="none" w:sz="0" w:space="0" w:color="auto"/>
        <w:bottom w:val="none" w:sz="0" w:space="0" w:color="auto"/>
        <w:right w:val="none" w:sz="0" w:space="0" w:color="auto"/>
      </w:divBdr>
    </w:div>
    <w:div w:id="1170951831">
      <w:bodyDiv w:val="1"/>
      <w:marLeft w:val="0"/>
      <w:marRight w:val="0"/>
      <w:marTop w:val="0"/>
      <w:marBottom w:val="0"/>
      <w:divBdr>
        <w:top w:val="none" w:sz="0" w:space="0" w:color="auto"/>
        <w:left w:val="none" w:sz="0" w:space="0" w:color="auto"/>
        <w:bottom w:val="none" w:sz="0" w:space="0" w:color="auto"/>
        <w:right w:val="none" w:sz="0" w:space="0" w:color="auto"/>
      </w:divBdr>
    </w:div>
    <w:div w:id="1173759095">
      <w:bodyDiv w:val="1"/>
      <w:marLeft w:val="0"/>
      <w:marRight w:val="0"/>
      <w:marTop w:val="0"/>
      <w:marBottom w:val="0"/>
      <w:divBdr>
        <w:top w:val="none" w:sz="0" w:space="0" w:color="auto"/>
        <w:left w:val="none" w:sz="0" w:space="0" w:color="auto"/>
        <w:bottom w:val="none" w:sz="0" w:space="0" w:color="auto"/>
        <w:right w:val="none" w:sz="0" w:space="0" w:color="auto"/>
      </w:divBdr>
    </w:div>
    <w:div w:id="1187671972">
      <w:bodyDiv w:val="1"/>
      <w:marLeft w:val="0"/>
      <w:marRight w:val="0"/>
      <w:marTop w:val="0"/>
      <w:marBottom w:val="0"/>
      <w:divBdr>
        <w:top w:val="none" w:sz="0" w:space="0" w:color="auto"/>
        <w:left w:val="none" w:sz="0" w:space="0" w:color="auto"/>
        <w:bottom w:val="none" w:sz="0" w:space="0" w:color="auto"/>
        <w:right w:val="none" w:sz="0" w:space="0" w:color="auto"/>
      </w:divBdr>
    </w:div>
    <w:div w:id="1305155542">
      <w:bodyDiv w:val="1"/>
      <w:marLeft w:val="0"/>
      <w:marRight w:val="0"/>
      <w:marTop w:val="0"/>
      <w:marBottom w:val="0"/>
      <w:divBdr>
        <w:top w:val="none" w:sz="0" w:space="0" w:color="auto"/>
        <w:left w:val="none" w:sz="0" w:space="0" w:color="auto"/>
        <w:bottom w:val="none" w:sz="0" w:space="0" w:color="auto"/>
        <w:right w:val="none" w:sz="0" w:space="0" w:color="auto"/>
      </w:divBdr>
    </w:div>
    <w:div w:id="1477141291">
      <w:bodyDiv w:val="1"/>
      <w:marLeft w:val="0"/>
      <w:marRight w:val="0"/>
      <w:marTop w:val="0"/>
      <w:marBottom w:val="0"/>
      <w:divBdr>
        <w:top w:val="none" w:sz="0" w:space="0" w:color="auto"/>
        <w:left w:val="none" w:sz="0" w:space="0" w:color="auto"/>
        <w:bottom w:val="none" w:sz="0" w:space="0" w:color="auto"/>
        <w:right w:val="none" w:sz="0" w:space="0" w:color="auto"/>
      </w:divBdr>
    </w:div>
    <w:div w:id="1501046178">
      <w:bodyDiv w:val="1"/>
      <w:marLeft w:val="0"/>
      <w:marRight w:val="0"/>
      <w:marTop w:val="0"/>
      <w:marBottom w:val="0"/>
      <w:divBdr>
        <w:top w:val="none" w:sz="0" w:space="0" w:color="auto"/>
        <w:left w:val="none" w:sz="0" w:space="0" w:color="auto"/>
        <w:bottom w:val="none" w:sz="0" w:space="0" w:color="auto"/>
        <w:right w:val="none" w:sz="0" w:space="0" w:color="auto"/>
      </w:divBdr>
    </w:div>
    <w:div w:id="1803189581">
      <w:bodyDiv w:val="1"/>
      <w:marLeft w:val="0"/>
      <w:marRight w:val="0"/>
      <w:marTop w:val="0"/>
      <w:marBottom w:val="0"/>
      <w:divBdr>
        <w:top w:val="none" w:sz="0" w:space="0" w:color="auto"/>
        <w:left w:val="none" w:sz="0" w:space="0" w:color="auto"/>
        <w:bottom w:val="none" w:sz="0" w:space="0" w:color="auto"/>
        <w:right w:val="none" w:sz="0" w:space="0" w:color="auto"/>
      </w:divBdr>
    </w:div>
    <w:div w:id="1805541534">
      <w:bodyDiv w:val="1"/>
      <w:marLeft w:val="0"/>
      <w:marRight w:val="0"/>
      <w:marTop w:val="0"/>
      <w:marBottom w:val="0"/>
      <w:divBdr>
        <w:top w:val="none" w:sz="0" w:space="0" w:color="auto"/>
        <w:left w:val="none" w:sz="0" w:space="0" w:color="auto"/>
        <w:bottom w:val="none" w:sz="0" w:space="0" w:color="auto"/>
        <w:right w:val="none" w:sz="0" w:space="0" w:color="auto"/>
      </w:divBdr>
    </w:div>
    <w:div w:id="205724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footer" Target="footer6.xml"/><Relationship Id="rId42" Type="http://schemas.openxmlformats.org/officeDocument/2006/relationships/header" Target="header17.xml"/><Relationship Id="rId47" Type="http://schemas.openxmlformats.org/officeDocument/2006/relationships/header" Target="header19.xml"/><Relationship Id="rId63" Type="http://schemas.openxmlformats.org/officeDocument/2006/relationships/header" Target="header27.xml"/><Relationship Id="rId68" Type="http://schemas.openxmlformats.org/officeDocument/2006/relationships/footer" Target="footer29.xml"/><Relationship Id="rId84" Type="http://schemas.openxmlformats.org/officeDocument/2006/relationships/header" Target="header38.xml"/><Relationship Id="rId89" Type="http://schemas.openxmlformats.org/officeDocument/2006/relationships/header" Target="header40.xml"/><Relationship Id="rId7" Type="http://schemas.openxmlformats.org/officeDocument/2006/relationships/footnotes" Target="footnotes.xml"/><Relationship Id="rId71" Type="http://schemas.openxmlformats.org/officeDocument/2006/relationships/header" Target="header31.xml"/><Relationship Id="rId92" Type="http://schemas.openxmlformats.org/officeDocument/2006/relationships/footer" Target="footer41.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0.xml"/><Relationship Id="rId107" Type="http://schemas.openxmlformats.org/officeDocument/2006/relationships/fontTable" Target="fontTable.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4.xml"/><Relationship Id="rId66" Type="http://schemas.openxmlformats.org/officeDocument/2006/relationships/header" Target="header29.xml"/><Relationship Id="rId74" Type="http://schemas.openxmlformats.org/officeDocument/2006/relationships/footer" Target="footer32.xml"/><Relationship Id="rId79" Type="http://schemas.openxmlformats.org/officeDocument/2006/relationships/footer" Target="footer34.xml"/><Relationship Id="rId87" Type="http://schemas.openxmlformats.org/officeDocument/2006/relationships/header" Target="header39.xml"/><Relationship Id="rId102" Type="http://schemas.openxmlformats.org/officeDocument/2006/relationships/header" Target="header47.xml"/><Relationship Id="rId5" Type="http://schemas.openxmlformats.org/officeDocument/2006/relationships/settings" Target="settings.xml"/><Relationship Id="rId61" Type="http://schemas.openxmlformats.org/officeDocument/2006/relationships/footer" Target="footer25.xml"/><Relationship Id="rId82" Type="http://schemas.openxmlformats.org/officeDocument/2006/relationships/footer" Target="footer36.xml"/><Relationship Id="rId90" Type="http://schemas.openxmlformats.org/officeDocument/2006/relationships/header" Target="header41.xml"/><Relationship Id="rId95" Type="http://schemas.openxmlformats.org/officeDocument/2006/relationships/header" Target="header43.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6.xml"/><Relationship Id="rId48" Type="http://schemas.openxmlformats.org/officeDocument/2006/relationships/header" Target="header20.xml"/><Relationship Id="rId56" Type="http://schemas.openxmlformats.org/officeDocument/2006/relationships/footer" Target="footer23.xml"/><Relationship Id="rId64" Type="http://schemas.openxmlformats.org/officeDocument/2006/relationships/footer" Target="footer27.xml"/><Relationship Id="rId69" Type="http://schemas.openxmlformats.org/officeDocument/2006/relationships/header" Target="header30.xml"/><Relationship Id="rId77" Type="http://schemas.openxmlformats.org/officeDocument/2006/relationships/header" Target="header34.xml"/><Relationship Id="rId100" Type="http://schemas.openxmlformats.org/officeDocument/2006/relationships/footer" Target="footer45.xml"/><Relationship Id="rId105" Type="http://schemas.openxmlformats.org/officeDocument/2006/relationships/header" Target="header48.xml"/><Relationship Id="rId8" Type="http://schemas.openxmlformats.org/officeDocument/2006/relationships/endnotes" Target="endnotes.xml"/><Relationship Id="rId51" Type="http://schemas.openxmlformats.org/officeDocument/2006/relationships/header" Target="header21.xml"/><Relationship Id="rId72" Type="http://schemas.openxmlformats.org/officeDocument/2006/relationships/header" Target="header32.xml"/><Relationship Id="rId80" Type="http://schemas.openxmlformats.org/officeDocument/2006/relationships/footer" Target="footer35.xml"/><Relationship Id="rId85" Type="http://schemas.openxmlformats.org/officeDocument/2006/relationships/footer" Target="footer37.xml"/><Relationship Id="rId93" Type="http://schemas.openxmlformats.org/officeDocument/2006/relationships/header" Target="header42.xml"/><Relationship Id="rId98" Type="http://schemas.openxmlformats.org/officeDocument/2006/relationships/footer" Target="footer4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header" Target="header25.xml"/><Relationship Id="rId67" Type="http://schemas.openxmlformats.org/officeDocument/2006/relationships/footer" Target="footer28.xml"/><Relationship Id="rId103" Type="http://schemas.openxmlformats.org/officeDocument/2006/relationships/footer" Target="footer46.xml"/><Relationship Id="rId108"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header" Target="header16.xml"/><Relationship Id="rId54" Type="http://schemas.openxmlformats.org/officeDocument/2006/relationships/header" Target="header23.xml"/><Relationship Id="rId62" Type="http://schemas.openxmlformats.org/officeDocument/2006/relationships/footer" Target="footer26.xml"/><Relationship Id="rId70" Type="http://schemas.openxmlformats.org/officeDocument/2006/relationships/footer" Target="footer30.xml"/><Relationship Id="rId75" Type="http://schemas.openxmlformats.org/officeDocument/2006/relationships/header" Target="header33.xml"/><Relationship Id="rId83" Type="http://schemas.openxmlformats.org/officeDocument/2006/relationships/header" Target="header37.xml"/><Relationship Id="rId88" Type="http://schemas.openxmlformats.org/officeDocument/2006/relationships/footer" Target="footer39.xml"/><Relationship Id="rId91" Type="http://schemas.openxmlformats.org/officeDocument/2006/relationships/footer" Target="footer40.xml"/><Relationship Id="rId96" Type="http://schemas.openxmlformats.org/officeDocument/2006/relationships/header" Target="header4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4.xml"/><Relationship Id="rId49" Type="http://schemas.openxmlformats.org/officeDocument/2006/relationships/footer" Target="footer19.xml"/><Relationship Id="rId57" Type="http://schemas.openxmlformats.org/officeDocument/2006/relationships/header" Target="header24.xml"/><Relationship Id="rId106" Type="http://schemas.openxmlformats.org/officeDocument/2006/relationships/footer" Target="footer48.xml"/><Relationship Id="rId10" Type="http://schemas.openxmlformats.org/officeDocument/2006/relationships/header" Target="header1.xml"/><Relationship Id="rId31" Type="http://schemas.openxmlformats.org/officeDocument/2006/relationships/footer" Target="footer10.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header" Target="header26.xml"/><Relationship Id="rId65" Type="http://schemas.openxmlformats.org/officeDocument/2006/relationships/header" Target="header28.xml"/><Relationship Id="rId73" Type="http://schemas.openxmlformats.org/officeDocument/2006/relationships/footer" Target="footer31.xml"/><Relationship Id="rId78" Type="http://schemas.openxmlformats.org/officeDocument/2006/relationships/header" Target="header35.xml"/><Relationship Id="rId81" Type="http://schemas.openxmlformats.org/officeDocument/2006/relationships/header" Target="header36.xml"/><Relationship Id="rId86" Type="http://schemas.openxmlformats.org/officeDocument/2006/relationships/footer" Target="footer38.xml"/><Relationship Id="rId94" Type="http://schemas.openxmlformats.org/officeDocument/2006/relationships/footer" Target="footer42.xml"/><Relationship Id="rId99" Type="http://schemas.openxmlformats.org/officeDocument/2006/relationships/header" Target="header45.xml"/><Relationship Id="rId101" Type="http://schemas.openxmlformats.org/officeDocument/2006/relationships/header" Target="header46.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eader" Target="header15.xml"/><Relationship Id="rId34" Type="http://schemas.openxmlformats.org/officeDocument/2006/relationships/footer" Target="footer12.xml"/><Relationship Id="rId50" Type="http://schemas.openxmlformats.org/officeDocument/2006/relationships/footer" Target="footer20.xml"/><Relationship Id="rId55" Type="http://schemas.openxmlformats.org/officeDocument/2006/relationships/footer" Target="footer22.xml"/><Relationship Id="rId76" Type="http://schemas.openxmlformats.org/officeDocument/2006/relationships/footer" Target="footer33.xml"/><Relationship Id="rId97" Type="http://schemas.openxmlformats.org/officeDocument/2006/relationships/footer" Target="footer43.xml"/><Relationship Id="rId104" Type="http://schemas.openxmlformats.org/officeDocument/2006/relationships/footer" Target="footer4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4F8CF-EF66-4B6B-B4DC-C5A6BAD3D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50</Pages>
  <Words>11360</Words>
  <Characters>68504</Characters>
  <Application>Microsoft Office Word</Application>
  <DocSecurity>0</DocSecurity>
  <Lines>1851</Lines>
  <Paragraphs>1109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78755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RYLEWICZ-HOEGAERTS Anna (ENV)</dc:creator>
  <cp:lastModifiedBy>DQC</cp:lastModifiedBy>
  <cp:revision>4</cp:revision>
  <cp:lastPrinted>2016-09-21T12:27:00Z</cp:lastPrinted>
  <dcterms:created xsi:type="dcterms:W3CDTF">2018-01-23T07:47:00Z</dcterms:created>
  <dcterms:modified xsi:type="dcterms:W3CDTF">2018-03-05T07:36:00Z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Level of sensitivity">
    <vt:lpwstr>Standard treatment</vt:lpwstr>
  </property>
</Properties>
</file>