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8"/>
        <w:rPr>
          <w:sz w:val="23"/>
        </w:rPr>
      </w:pPr>
    </w:p>
    <w:p>
      <w:pPr>
        <w:spacing w:line="247" w:lineRule="auto" w:before="0"/>
        <w:ind w:left="3600" w:right="4661" w:firstLine="0"/>
        <w:jc w:val="left"/>
        <w:rPr>
          <w:rFonts w:ascii="Arial"/>
          <w:sz w:val="22"/>
        </w:rPr>
      </w:pPr>
      <w:r>
        <w:rPr/>
        <w:drawing>
          <wp:anchor distT="0" distB="0" distL="0" distR="0" allowOverlap="1" layoutInCell="1" locked="0" behindDoc="0" simplePos="0" relativeHeight="1024">
            <wp:simplePos x="0" y="0"/>
            <wp:positionH relativeFrom="page">
              <wp:posOffset>908316</wp:posOffset>
            </wp:positionH>
            <wp:positionV relativeFrom="paragraph">
              <wp:posOffset>-469419</wp:posOffset>
            </wp:positionV>
            <wp:extent cx="1575816" cy="77266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75816" cy="772668"/>
                    </a:xfrm>
                    <a:prstGeom prst="rect">
                      <a:avLst/>
                    </a:prstGeom>
                  </pic:spPr>
                </pic:pic>
              </a:graphicData>
            </a:graphic>
          </wp:anchor>
        </w:drawing>
      </w:r>
      <w:r>
        <w:rPr>
          <w:rFonts w:ascii="Arial"/>
          <w:w w:val="105"/>
          <w:sz w:val="22"/>
        </w:rPr>
        <w:t>EUROPEAN </w:t>
      </w:r>
      <w:r>
        <w:rPr>
          <w:rFonts w:ascii="Arial"/>
          <w:sz w:val="22"/>
        </w:rPr>
        <w:t>COMMISSION</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0"/>
        </w:rPr>
      </w:pPr>
    </w:p>
    <w:p>
      <w:pPr>
        <w:spacing w:before="96"/>
        <w:ind w:left="6020" w:right="0" w:firstLine="0"/>
        <w:jc w:val="left"/>
        <w:rPr>
          <w:sz w:val="23"/>
        </w:rPr>
      </w:pPr>
      <w:r>
        <w:rPr>
          <w:w w:val="105"/>
          <w:sz w:val="23"/>
        </w:rPr>
        <w:t>Brussels, 10.12.2018</w:t>
      </w:r>
    </w:p>
    <w:p>
      <w:pPr>
        <w:spacing w:before="10"/>
        <w:ind w:left="6020" w:right="0" w:firstLine="0"/>
        <w:jc w:val="left"/>
        <w:rPr>
          <w:sz w:val="23"/>
        </w:rPr>
      </w:pPr>
      <w:r>
        <w:rPr>
          <w:w w:val="105"/>
          <w:sz w:val="23"/>
        </w:rPr>
        <w:t>SWD(2018) 494 final</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21"/>
        </w:rPr>
      </w:pPr>
    </w:p>
    <w:p>
      <w:pPr>
        <w:spacing w:before="0"/>
        <w:ind w:left="1272" w:right="1337" w:firstLine="0"/>
        <w:jc w:val="center"/>
        <w:rPr>
          <w:b/>
          <w:sz w:val="23"/>
        </w:rPr>
      </w:pPr>
      <w:r>
        <w:rPr>
          <w:b/>
          <w:w w:val="105"/>
          <w:sz w:val="23"/>
        </w:rPr>
        <w:t>COMMISSION STAFF WORKING DOCUMENT</w:t>
      </w:r>
    </w:p>
    <w:p>
      <w:pPr>
        <w:pStyle w:val="BodyText"/>
        <w:spacing w:before="8"/>
        <w:rPr>
          <w:b/>
          <w:sz w:val="31"/>
        </w:rPr>
      </w:pPr>
    </w:p>
    <w:p>
      <w:pPr>
        <w:spacing w:before="0"/>
        <w:ind w:left="1272" w:right="1337" w:firstLine="0"/>
        <w:jc w:val="center"/>
        <w:rPr>
          <w:b/>
          <w:sz w:val="23"/>
        </w:rPr>
      </w:pPr>
      <w:r>
        <w:rPr>
          <w:b/>
          <w:w w:val="105"/>
          <w:sz w:val="23"/>
        </w:rPr>
        <w:t>EU green public procurement criteria for road lighting and traffic signals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tabs>
          <w:tab w:pos="10210" w:val="left" w:leader="none"/>
        </w:tabs>
        <w:spacing w:before="205"/>
        <w:ind w:left="106" w:right="0" w:firstLine="0"/>
        <w:jc w:val="left"/>
        <w:rPr>
          <w:rFonts w:ascii="Arial"/>
          <w:b/>
          <w:sz w:val="48"/>
        </w:rPr>
      </w:pPr>
      <w:r>
        <w:rPr>
          <w:rFonts w:ascii="Arial"/>
          <w:b/>
          <w:sz w:val="48"/>
        </w:rPr>
        <w:t>EN</w:t>
        <w:tab/>
        <w:t>EN</w:t>
      </w:r>
    </w:p>
    <w:p>
      <w:pPr>
        <w:spacing w:after="0"/>
        <w:jc w:val="left"/>
        <w:rPr>
          <w:rFonts w:ascii="Arial"/>
          <w:sz w:val="48"/>
        </w:rPr>
        <w:sectPr>
          <w:type w:val="continuous"/>
          <w:pgSz w:w="11900" w:h="16840"/>
          <w:pgMar w:top="1480" w:bottom="280" w:left="460" w:right="460"/>
        </w:sectPr>
      </w:pPr>
    </w:p>
    <w:p>
      <w:pPr>
        <w:spacing w:before="71"/>
        <w:ind w:left="1647" w:right="511" w:firstLine="0"/>
        <w:jc w:val="center"/>
        <w:rPr>
          <w:b/>
          <w:sz w:val="32"/>
        </w:rPr>
      </w:pPr>
      <w:r>
        <w:rPr>
          <w:b/>
          <w:sz w:val="32"/>
        </w:rPr>
        <w:t>EU GPP criteria for road lighting and traffic signals</w:t>
      </w:r>
    </w:p>
    <w:p>
      <w:pPr>
        <w:pStyle w:val="BodyText"/>
        <w:rPr>
          <w:b/>
          <w:sz w:val="41"/>
        </w:rPr>
      </w:pPr>
    </w:p>
    <w:p>
      <w:pPr>
        <w:pStyle w:val="Heading1"/>
        <w:spacing w:before="0"/>
        <w:ind w:left="1647" w:right="510" w:firstLine="0"/>
        <w:jc w:val="center"/>
      </w:pPr>
      <w:r>
        <w:rPr/>
        <w:t>Contents</w:t>
      </w:r>
    </w:p>
    <w:sdt>
      <w:sdtPr>
        <w:docPartObj>
          <w:docPartGallery w:val="Table of Contents"/>
          <w:docPartUnique/>
        </w:docPartObj>
      </w:sdtPr>
      <w:sdtEndPr/>
      <w:sdtContent>
        <w:p>
          <w:pPr>
            <w:pStyle w:val="TOC1"/>
            <w:numPr>
              <w:ilvl w:val="0"/>
              <w:numId w:val="1"/>
            </w:numPr>
            <w:tabs>
              <w:tab w:pos="2247" w:val="left" w:leader="none"/>
              <w:tab w:pos="2248" w:val="left" w:leader="none"/>
              <w:tab w:pos="10194" w:val="left" w:leader="dot"/>
            </w:tabs>
            <w:spacing w:line="240" w:lineRule="auto" w:before="236" w:after="0"/>
            <w:ind w:left="1808" w:right="0" w:firstLine="0"/>
            <w:jc w:val="left"/>
          </w:pPr>
          <w:hyperlink w:history="true" w:anchor="_TOC_250008">
            <w:r>
              <w:rPr/>
              <w:t>INTRODUCTION</w:t>
              <w:tab/>
              <w:t>2</w:t>
            </w:r>
          </w:hyperlink>
        </w:p>
        <w:p>
          <w:pPr>
            <w:pStyle w:val="TOC2"/>
            <w:numPr>
              <w:ilvl w:val="1"/>
              <w:numId w:val="1"/>
            </w:numPr>
            <w:tabs>
              <w:tab w:pos="2907" w:val="left" w:leader="none"/>
              <w:tab w:pos="2908" w:val="left" w:leader="none"/>
              <w:tab w:pos="10192" w:val="left" w:leader="dot"/>
            </w:tabs>
            <w:spacing w:line="240" w:lineRule="auto" w:before="137" w:after="0"/>
            <w:ind w:left="2907" w:right="0" w:hanging="879"/>
            <w:jc w:val="left"/>
          </w:pPr>
          <w:hyperlink w:history="true" w:anchor="_TOC_250007">
            <w:r>
              <w:rPr/>
              <w:t>Definition</w:t>
            </w:r>
            <w:r>
              <w:rPr>
                <w:spacing w:val="-5"/>
              </w:rPr>
              <w:t> </w:t>
            </w:r>
            <w:r>
              <w:rPr/>
              <w:t>and</w:t>
            </w:r>
            <w:r>
              <w:rPr>
                <w:spacing w:val="-3"/>
              </w:rPr>
              <w:t> </w:t>
            </w:r>
            <w:r>
              <w:rPr/>
              <w:t>scope</w:t>
              <w:tab/>
              <w:t>4</w:t>
            </w:r>
          </w:hyperlink>
        </w:p>
        <w:p>
          <w:pPr>
            <w:pStyle w:val="TOC2"/>
            <w:numPr>
              <w:ilvl w:val="1"/>
              <w:numId w:val="1"/>
            </w:numPr>
            <w:tabs>
              <w:tab w:pos="2906" w:val="left" w:leader="none"/>
              <w:tab w:pos="2907" w:val="left" w:leader="none"/>
              <w:tab w:pos="10192" w:val="left" w:leader="dot"/>
            </w:tabs>
            <w:spacing w:line="240" w:lineRule="auto" w:before="238" w:after="0"/>
            <w:ind w:left="2906" w:right="0" w:hanging="878"/>
            <w:jc w:val="left"/>
          </w:pPr>
          <w:hyperlink w:history="true" w:anchor="_TOC_250006">
            <w:r>
              <w:rPr/>
              <w:t>General note</w:t>
            </w:r>
            <w:r>
              <w:rPr>
                <w:spacing w:val="-7"/>
              </w:rPr>
              <w:t> </w:t>
            </w:r>
            <w:r>
              <w:rPr/>
              <w:t>on</w:t>
            </w:r>
            <w:r>
              <w:rPr>
                <w:spacing w:val="-2"/>
              </w:rPr>
              <w:t> </w:t>
            </w:r>
            <w:r>
              <w:rPr/>
              <w:t>verification</w:t>
              <w:tab/>
              <w:t>4</w:t>
            </w:r>
          </w:hyperlink>
        </w:p>
        <w:p>
          <w:pPr>
            <w:pStyle w:val="TOC1"/>
            <w:numPr>
              <w:ilvl w:val="0"/>
              <w:numId w:val="1"/>
            </w:numPr>
            <w:tabs>
              <w:tab w:pos="2247" w:val="left" w:leader="none"/>
              <w:tab w:pos="2248" w:val="left" w:leader="none"/>
              <w:tab w:pos="10194" w:val="left" w:leader="dot"/>
            </w:tabs>
            <w:spacing w:line="360" w:lineRule="auto" w:before="240" w:after="0"/>
            <w:ind w:left="1808" w:right="663" w:firstLine="0"/>
            <w:jc w:val="left"/>
          </w:pPr>
          <w:hyperlink w:history="true" w:anchor="_TOC_250005">
            <w:r>
              <w:rPr/>
              <w:t>EU GPP CRITERIA FOR THE CONTRACTING OF DESIGN SERVICES, PURCHASE OF LIGHTING EQUIPMENT AND/OR CONTRACTING OF INSTALLATION WORKS FOR</w:t>
            </w:r>
            <w:r>
              <w:rPr>
                <w:spacing w:val="-10"/>
              </w:rPr>
              <w:t> </w:t>
            </w:r>
            <w:r>
              <w:rPr/>
              <w:t>ROAD</w:t>
            </w:r>
            <w:r>
              <w:rPr>
                <w:spacing w:val="-1"/>
              </w:rPr>
              <w:t> </w:t>
            </w:r>
            <w:r>
              <w:rPr/>
              <w:t>LIGHTING</w:t>
              <w:tab/>
              <w:t>8</w:t>
            </w:r>
          </w:hyperlink>
        </w:p>
        <w:p>
          <w:pPr>
            <w:pStyle w:val="TOC2"/>
            <w:numPr>
              <w:ilvl w:val="1"/>
              <w:numId w:val="1"/>
            </w:numPr>
            <w:tabs>
              <w:tab w:pos="2907" w:val="left" w:leader="none"/>
              <w:tab w:pos="2908" w:val="left" w:leader="none"/>
              <w:tab w:pos="10193" w:val="left" w:leader="dot"/>
            </w:tabs>
            <w:spacing w:line="360" w:lineRule="auto" w:before="0" w:after="0"/>
            <w:ind w:left="2028" w:right="664" w:firstLine="0"/>
            <w:jc w:val="left"/>
          </w:pPr>
          <w:hyperlink w:history="true" w:anchor="_TOC_250004">
            <w:r>
              <w:rPr/>
              <w:t>Preliminary assessment of existing lighting infrastructure and installation of dedicated</w:t>
            </w:r>
            <w:r>
              <w:rPr>
                <w:spacing w:val="-4"/>
              </w:rPr>
              <w:t> </w:t>
            </w:r>
            <w:r>
              <w:rPr/>
              <w:t>metering</w:t>
              <w:tab/>
              <w:t>8</w:t>
            </w:r>
          </w:hyperlink>
        </w:p>
        <w:p>
          <w:pPr>
            <w:pStyle w:val="TOC2"/>
            <w:numPr>
              <w:ilvl w:val="1"/>
              <w:numId w:val="1"/>
            </w:numPr>
            <w:tabs>
              <w:tab w:pos="2906" w:val="left" w:leader="none"/>
              <w:tab w:pos="2907" w:val="left" w:leader="none"/>
            </w:tabs>
            <w:spacing w:line="240" w:lineRule="auto" w:before="99" w:after="0"/>
            <w:ind w:left="2906" w:right="0" w:hanging="878"/>
            <w:jc w:val="left"/>
          </w:pPr>
          <w:r>
            <w:rPr/>
            <w:t>Selection</w:t>
          </w:r>
          <w:r>
            <w:rPr>
              <w:spacing w:val="-4"/>
            </w:rPr>
            <w:t> </w:t>
          </w:r>
          <w:r>
            <w:rPr/>
            <w:t>criteria (SC)</w:t>
          </w:r>
          <w:r>
            <w:rPr>
              <w:spacing w:val="-2"/>
            </w:rPr>
            <w:t> </w:t>
          </w:r>
          <w:r>
            <w:rPr/>
            <w:t>and</w:t>
          </w:r>
          <w:r>
            <w:rPr>
              <w:spacing w:val="-3"/>
            </w:rPr>
            <w:t> </w:t>
          </w:r>
          <w:r>
            <w:rPr/>
            <w:t>relevant</w:t>
          </w:r>
          <w:r>
            <w:rPr>
              <w:spacing w:val="-3"/>
            </w:rPr>
            <w:t> </w:t>
          </w:r>
          <w:r>
            <w:rPr/>
            <w:t>contract</w:t>
          </w:r>
          <w:r>
            <w:rPr>
              <w:spacing w:val="-3"/>
            </w:rPr>
            <w:t> </w:t>
          </w:r>
          <w:r>
            <w:rPr/>
            <w:t>performance</w:t>
          </w:r>
          <w:r>
            <w:rPr>
              <w:spacing w:val="-3"/>
            </w:rPr>
            <w:t> </w:t>
          </w:r>
          <w:r>
            <w:rPr/>
            <w:t>clauses</w:t>
          </w:r>
          <w:r>
            <w:rPr>
              <w:spacing w:val="-3"/>
            </w:rPr>
            <w:t> </w:t>
          </w:r>
          <w:r>
            <w:rPr/>
            <w:t>(CPC)</w:t>
          </w:r>
          <w:r>
            <w:rPr>
              <w:spacing w:val="-26"/>
            </w:rPr>
            <w:t> </w:t>
          </w:r>
          <w:r>
            <w:rPr/>
            <w:t>...</w:t>
          </w:r>
          <w:r>
            <w:rPr>
              <w:spacing w:val="-28"/>
            </w:rPr>
            <w:t> </w:t>
          </w:r>
          <w:r>
            <w:rPr/>
            <w:t>10</w:t>
          </w:r>
        </w:p>
        <w:p>
          <w:pPr>
            <w:pStyle w:val="TOC2"/>
            <w:numPr>
              <w:ilvl w:val="1"/>
              <w:numId w:val="1"/>
            </w:numPr>
            <w:tabs>
              <w:tab w:pos="2906" w:val="left" w:leader="none"/>
              <w:tab w:pos="2907" w:val="left" w:leader="none"/>
              <w:tab w:pos="10072" w:val="left" w:leader="dot"/>
            </w:tabs>
            <w:spacing w:line="360" w:lineRule="auto" w:before="238" w:after="0"/>
            <w:ind w:left="2028" w:right="665" w:firstLine="0"/>
            <w:jc w:val="left"/>
          </w:pPr>
          <w:r>
            <w:rPr/>
            <w:t>Energy efficient lighting equipment: technical specifications (TS), award criteria (AC) and associated contract performance</w:t>
          </w:r>
          <w:r>
            <w:rPr>
              <w:spacing w:val="-28"/>
            </w:rPr>
            <w:t> </w:t>
          </w:r>
          <w:r>
            <w:rPr/>
            <w:t>clauses</w:t>
          </w:r>
          <w:r>
            <w:rPr>
              <w:spacing w:val="-5"/>
            </w:rPr>
            <w:t> </w:t>
          </w:r>
          <w:r>
            <w:rPr/>
            <w:t>(CPC)</w:t>
            <w:tab/>
            <w:t>13</w:t>
          </w:r>
        </w:p>
        <w:p>
          <w:pPr>
            <w:pStyle w:val="TOC2"/>
            <w:numPr>
              <w:ilvl w:val="1"/>
              <w:numId w:val="1"/>
            </w:numPr>
            <w:tabs>
              <w:tab w:pos="2907" w:val="left" w:leader="none"/>
              <w:tab w:pos="2908" w:val="left" w:leader="none"/>
              <w:tab w:pos="10072" w:val="left" w:leader="dot"/>
            </w:tabs>
            <w:spacing w:line="360" w:lineRule="auto" w:before="98" w:after="0"/>
            <w:ind w:left="2028" w:right="665" w:firstLine="0"/>
            <w:jc w:val="left"/>
          </w:pPr>
          <w:r>
            <w:rPr/>
            <w:t>Low light pollution lighting equipment: technical specifications (TS), award criteria (AC) and associated contract performance</w:t>
          </w:r>
          <w:r>
            <w:rPr>
              <w:spacing w:val="-28"/>
            </w:rPr>
            <w:t> </w:t>
          </w:r>
          <w:r>
            <w:rPr/>
            <w:t>clauses</w:t>
          </w:r>
          <w:r>
            <w:rPr>
              <w:spacing w:val="-5"/>
            </w:rPr>
            <w:t> </w:t>
          </w:r>
          <w:r>
            <w:rPr/>
            <w:t>(CPC)</w:t>
            <w:tab/>
            <w:t>24</w:t>
          </w:r>
        </w:p>
        <w:p>
          <w:pPr>
            <w:pStyle w:val="TOC2"/>
            <w:numPr>
              <w:ilvl w:val="1"/>
              <w:numId w:val="1"/>
            </w:numPr>
            <w:tabs>
              <w:tab w:pos="2907" w:val="left" w:leader="none"/>
              <w:tab w:pos="2908" w:val="left" w:leader="none"/>
              <w:tab w:pos="10072" w:val="left" w:leader="dot"/>
            </w:tabs>
            <w:spacing w:line="360" w:lineRule="auto" w:before="101" w:after="0"/>
            <w:ind w:left="2028" w:right="665" w:firstLine="0"/>
            <w:jc w:val="left"/>
          </w:pPr>
          <w:r>
            <w:rPr/>
            <w:t>Good quality and durable lighting equipment: technical specifications (TS), award criteria (AC) and associated contract performance</w:t>
          </w:r>
          <w:r>
            <w:rPr>
              <w:spacing w:val="-27"/>
            </w:rPr>
            <w:t> </w:t>
          </w:r>
          <w:r>
            <w:rPr/>
            <w:t>clauses</w:t>
          </w:r>
          <w:r>
            <w:rPr>
              <w:spacing w:val="-5"/>
            </w:rPr>
            <w:t> </w:t>
          </w:r>
          <w:r>
            <w:rPr/>
            <w:t>(CPC)</w:t>
            <w:tab/>
            <w:t>28</w:t>
          </w:r>
        </w:p>
        <w:p>
          <w:pPr>
            <w:pStyle w:val="TOC1"/>
            <w:numPr>
              <w:ilvl w:val="0"/>
              <w:numId w:val="1"/>
            </w:numPr>
            <w:tabs>
              <w:tab w:pos="2247" w:val="left" w:leader="none"/>
              <w:tab w:pos="2248" w:val="left" w:leader="none"/>
              <w:tab w:pos="10073" w:val="left" w:leader="dot"/>
            </w:tabs>
            <w:spacing w:line="240" w:lineRule="auto" w:before="101" w:after="0"/>
            <w:ind w:left="2247" w:right="0" w:hanging="439"/>
            <w:jc w:val="left"/>
          </w:pPr>
          <w:hyperlink w:history="true" w:anchor="_TOC_250003">
            <w:r>
              <w:rPr/>
              <w:t>EU GPP CRITERIA FOR THE PURCHASE OF</w:t>
            </w:r>
            <w:r>
              <w:rPr>
                <w:spacing w:val="-11"/>
              </w:rPr>
              <w:t> </w:t>
            </w:r>
            <w:r>
              <w:rPr/>
              <w:t>TRAFFIC</w:t>
            </w:r>
            <w:r>
              <w:rPr>
                <w:spacing w:val="-1"/>
              </w:rPr>
              <w:t> </w:t>
            </w:r>
            <w:r>
              <w:rPr/>
              <w:t>SIGNALS</w:t>
              <w:tab/>
              <w:t>37</w:t>
            </w:r>
          </w:hyperlink>
        </w:p>
        <w:p>
          <w:pPr>
            <w:pStyle w:val="TOC2"/>
            <w:numPr>
              <w:ilvl w:val="1"/>
              <w:numId w:val="1"/>
            </w:numPr>
            <w:tabs>
              <w:tab w:pos="2906" w:val="left" w:leader="none"/>
              <w:tab w:pos="2907" w:val="left" w:leader="none"/>
              <w:tab w:pos="10075" w:val="left" w:leader="dot"/>
            </w:tabs>
            <w:spacing w:line="240" w:lineRule="auto" w:before="137" w:after="0"/>
            <w:ind w:left="2906" w:right="0" w:hanging="878"/>
            <w:jc w:val="left"/>
          </w:pPr>
          <w:hyperlink w:history="true" w:anchor="_TOC_250002">
            <w:r>
              <w:rPr/>
              <w:t>Technical specifications (TS) and award</w:t>
            </w:r>
            <w:r>
              <w:rPr>
                <w:spacing w:val="-23"/>
              </w:rPr>
              <w:t> </w:t>
            </w:r>
            <w:r>
              <w:rPr/>
              <w:t>criteria</w:t>
            </w:r>
            <w:r>
              <w:rPr>
                <w:spacing w:val="-5"/>
              </w:rPr>
              <w:t> </w:t>
            </w:r>
            <w:r>
              <w:rPr/>
              <w:t>(AC)</w:t>
              <w:tab/>
              <w:t>37</w:t>
            </w:r>
          </w:hyperlink>
        </w:p>
        <w:p>
          <w:pPr>
            <w:pStyle w:val="TOC1"/>
            <w:numPr>
              <w:ilvl w:val="0"/>
              <w:numId w:val="1"/>
            </w:numPr>
            <w:tabs>
              <w:tab w:pos="2247" w:val="left" w:leader="none"/>
              <w:tab w:pos="2248" w:val="left" w:leader="none"/>
              <w:tab w:pos="10074" w:val="left" w:leader="dot"/>
            </w:tabs>
            <w:spacing w:line="240" w:lineRule="auto" w:before="238" w:after="0"/>
            <w:ind w:left="2247" w:right="0" w:hanging="439"/>
            <w:jc w:val="left"/>
          </w:pPr>
          <w:hyperlink w:history="true" w:anchor="_TOC_250001">
            <w:r>
              <w:rPr/>
              <w:t>LIFE</w:t>
            </w:r>
            <w:r>
              <w:rPr>
                <w:spacing w:val="-3"/>
              </w:rPr>
              <w:t> </w:t>
            </w:r>
            <w:r>
              <w:rPr/>
              <w:t>CYCLE</w:t>
            </w:r>
            <w:r>
              <w:rPr>
                <w:spacing w:val="-2"/>
              </w:rPr>
              <w:t> </w:t>
            </w:r>
            <w:r>
              <w:rPr/>
              <w:t>COSTING</w:t>
              <w:tab/>
              <w:t>43</w:t>
            </w:r>
          </w:hyperlink>
        </w:p>
        <w:p>
          <w:pPr>
            <w:pStyle w:val="TOC1"/>
            <w:numPr>
              <w:ilvl w:val="0"/>
              <w:numId w:val="1"/>
            </w:numPr>
            <w:tabs>
              <w:tab w:pos="2247" w:val="left" w:leader="none"/>
              <w:tab w:pos="2248" w:val="left" w:leader="none"/>
              <w:tab w:pos="10071" w:val="left" w:leader="dot"/>
            </w:tabs>
            <w:spacing w:line="240" w:lineRule="auto" w:before="139" w:after="0"/>
            <w:ind w:left="2247" w:right="0" w:hanging="439"/>
            <w:jc w:val="left"/>
          </w:pPr>
          <w:hyperlink w:history="true" w:anchor="_TOC_250000">
            <w:r>
              <w:rPr/>
              <w:t>TECHNICAL ANNEX I: PDI and AECI</w:t>
            </w:r>
            <w:r>
              <w:rPr>
                <w:spacing w:val="-22"/>
              </w:rPr>
              <w:t> </w:t>
            </w:r>
            <w:r>
              <w:rPr/>
              <w:t>reference</w:t>
            </w:r>
            <w:r>
              <w:rPr>
                <w:spacing w:val="-2"/>
              </w:rPr>
              <w:t> </w:t>
            </w:r>
            <w:r>
              <w:rPr/>
              <w:t>values</w:t>
              <w:tab/>
              <w:t>45</w:t>
            </w:r>
          </w:hyperlink>
        </w:p>
      </w:sdtContent>
    </w:sdt>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3"/>
        </w:rPr>
      </w:pPr>
    </w:p>
    <w:p>
      <w:pPr>
        <w:pStyle w:val="BodyText"/>
        <w:spacing w:before="1"/>
        <w:ind w:right="1825"/>
        <w:jc w:val="right"/>
      </w:pPr>
      <w:r>
        <w:rPr/>
        <w:t>1</w:t>
      </w:r>
    </w:p>
    <w:p>
      <w:pPr>
        <w:spacing w:after="0"/>
        <w:jc w:val="right"/>
        <w:sectPr>
          <w:pgSz w:w="11900" w:h="16840"/>
          <w:pgMar w:top="1060" w:bottom="280" w:left="46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pStyle w:val="Heading1"/>
        <w:tabs>
          <w:tab w:pos="699" w:val="left" w:leader="none"/>
        </w:tabs>
        <w:spacing w:before="89"/>
        <w:ind w:left="132" w:firstLine="0"/>
      </w:pPr>
      <w:bookmarkStart w:name="_TOC_250008" w:id="1"/>
      <w:bookmarkEnd w:id="1"/>
      <w:r>
        <w:rPr/>
        <w:t>1</w:t>
        <w:tab/>
        <w:t>INTRODUCTION</w:t>
      </w:r>
    </w:p>
    <w:p>
      <w:pPr>
        <w:pStyle w:val="BodyText"/>
        <w:spacing w:before="10"/>
        <w:rPr>
          <w:b/>
          <w:sz w:val="33"/>
        </w:rPr>
      </w:pPr>
    </w:p>
    <w:p>
      <w:pPr>
        <w:pStyle w:val="BodyText"/>
        <w:ind w:left="132" w:right="112"/>
        <w:jc w:val="both"/>
      </w:pPr>
      <w:r>
        <w:rPr/>
        <w:t>EU green public procurement (GPP) criteria are designed to make it easier for public authorities to purchase goods, services and works with reduced environmental impacts. The use of the criteria is </w:t>
      </w:r>
      <w:r>
        <w:rPr>
          <w:b/>
        </w:rPr>
        <w:t>voluntary</w:t>
      </w:r>
      <w:r>
        <w:rPr/>
        <w:t>. The criteria are formulated in such a way that they can, if deemed appropriate by the individual authority, be (partially or fully) integrated into the authority’s tender documents with minimal editing. Before publishing a call for tender, public authorities are advised to check the available offer of the goods, services and works they plan to purchase on the market where they are operating. When a contracting authority intends to use the criteria suggested in this document, it shall do so in a manner which ensures compliance with the requirements of EU public procurement legislation (see, for instance, Articles 42, 43, 67(2) or 68 of Directive 2014/24/EU</w:t>
      </w:r>
      <w:r>
        <w:rPr>
          <w:vertAlign w:val="superscript"/>
        </w:rPr>
        <w:t>1</w:t>
      </w:r>
      <w:r>
        <w:rPr>
          <w:vertAlign w:val="baseline"/>
        </w:rPr>
        <w:t> and similar provisions in other EU public procurement legislation). Practical reflections on this matter are also provided in the 2016 handbook on buying green, available at</w:t>
      </w:r>
      <w:r>
        <w:rPr>
          <w:spacing w:val="-2"/>
          <w:vertAlign w:val="baseline"/>
        </w:rPr>
        <w:t> </w:t>
      </w:r>
      <w:hyperlink r:id="rId7">
        <w:r>
          <w:rPr>
            <w:color w:val="0000FF"/>
            <w:u w:val="single" w:color="0000FF"/>
            <w:vertAlign w:val="baseline"/>
          </w:rPr>
          <w:t>http://ec.europa.eu/environment/gpp/buying_handbook_en.htm</w:t>
        </w:r>
        <w:r>
          <w:rPr>
            <w:vertAlign w:val="baseline"/>
          </w:rPr>
          <w:t>.</w:t>
        </w:r>
      </w:hyperlink>
    </w:p>
    <w:p>
      <w:pPr>
        <w:pStyle w:val="BodyText"/>
        <w:spacing w:before="121"/>
        <w:ind w:left="132" w:right="109"/>
        <w:jc w:val="both"/>
      </w:pPr>
      <w:r>
        <w:rPr/>
        <w:t>Contracting authorities should also be aware of the fact that public procurers for central government institutions are obliged, under Article 6 of the Energy Efficiency Directive</w:t>
      </w:r>
      <w:r>
        <w:rPr>
          <w:vertAlign w:val="superscript"/>
        </w:rPr>
        <w:t>2</w:t>
      </w:r>
      <w:r>
        <w:rPr>
          <w:vertAlign w:val="baseline"/>
        </w:rPr>
        <w:t>, to purchase only products that comply with energy efficiency benchmarks specified in implementing measures if a product is covered by such an implementing measure under the Ecodesign Directive</w:t>
      </w:r>
      <w:r>
        <w:rPr>
          <w:vertAlign w:val="superscript"/>
        </w:rPr>
        <w:t>3</w:t>
      </w:r>
      <w:r>
        <w:rPr>
          <w:vertAlign w:val="baseline"/>
        </w:rPr>
        <w:t>. With regards to road lighting, Regulation 245/2009</w:t>
      </w:r>
      <w:r>
        <w:rPr>
          <w:vertAlign w:val="superscript"/>
        </w:rPr>
        <w:t>4</w:t>
      </w:r>
      <w:r>
        <w:rPr>
          <w:vertAlign w:val="baseline"/>
        </w:rPr>
        <w:t> is currently in force and will be later repealed by a new Commission Regulation. The current draft proposal</w:t>
      </w:r>
      <w:r>
        <w:rPr>
          <w:vertAlign w:val="superscript"/>
        </w:rPr>
        <w:t>5</w:t>
      </w:r>
      <w:r>
        <w:rPr>
          <w:vertAlign w:val="baseline"/>
        </w:rPr>
        <w:t> does set luminous efficacy requirements for LED lighting (120 lm/W) that are not more stringent than those specified in the EU GPP criteria.</w:t>
      </w:r>
    </w:p>
    <w:p>
      <w:pPr>
        <w:pStyle w:val="BodyText"/>
        <w:rPr>
          <w:sz w:val="20"/>
        </w:rPr>
      </w:pPr>
    </w:p>
    <w:p>
      <w:pPr>
        <w:pStyle w:val="BodyText"/>
        <w:rPr>
          <w:sz w:val="19"/>
        </w:rPr>
      </w:pPr>
      <w:r>
        <w:rPr/>
        <w:pict>
          <v:line style="position:absolute;mso-position-horizontal-relative:page;mso-position-vertical-relative:paragraph;z-index:-1000;mso-wrap-distance-left:0;mso-wrap-distance-right:0" from="56.640999pt,13.141234pt" to="200.640999pt,13.141234pt" stroked="true" strokeweight=".47998pt" strokecolor="#000000">
            <v:stroke dashstyle="solid"/>
            <w10:wrap type="topAndBottom"/>
          </v:line>
        </w:pict>
      </w:r>
    </w:p>
    <w:p>
      <w:pPr>
        <w:spacing w:line="228" w:lineRule="auto" w:before="40"/>
        <w:ind w:left="132" w:right="252" w:hanging="1"/>
        <w:jc w:val="left"/>
        <w:rPr>
          <w:sz w:val="20"/>
        </w:rPr>
      </w:pPr>
      <w:r>
        <w:rPr>
          <w:position w:val="9"/>
          <w:sz w:val="13"/>
        </w:rPr>
        <w:t>1 </w:t>
      </w:r>
      <w:r>
        <w:rPr>
          <w:sz w:val="20"/>
        </w:rPr>
        <w:t>Directive 2014/24/EU of the European Parliament and of the Council of 26 February 2014 on public procurement and repealing Directive 2004/18/EC. (OJ L 94, 28.3.2014, p.65).</w:t>
      </w:r>
      <w:r>
        <w:rPr>
          <w:position w:val="9"/>
          <w:sz w:val="20"/>
        </w:rPr>
        <w:t> </w:t>
      </w:r>
      <w:r>
        <w:rPr>
          <w:position w:val="9"/>
          <w:sz w:val="13"/>
        </w:rPr>
        <w:t>2 </w:t>
      </w:r>
      <w:r>
        <w:rPr>
          <w:sz w:val="20"/>
        </w:rPr>
        <w:t>Directive 2012/27/EU of the European Parliament and of the Council of 25 October 2012, n energy efficiency, amending Directives 2009/125/EC and 2010/30/EU and repealing Directives 2004/8/EC and 2006/32/EC (OJ L 315, 14.11.2012, p.1)</w:t>
      </w:r>
    </w:p>
    <w:p>
      <w:pPr>
        <w:spacing w:line="228" w:lineRule="exact" w:before="6"/>
        <w:ind w:left="132" w:right="0" w:firstLine="0"/>
        <w:jc w:val="left"/>
        <w:rPr>
          <w:sz w:val="20"/>
        </w:rPr>
      </w:pPr>
      <w:r>
        <w:rPr>
          <w:position w:val="9"/>
          <w:sz w:val="13"/>
        </w:rPr>
        <w:t>3 </w:t>
      </w:r>
      <w:r>
        <w:rPr>
          <w:sz w:val="20"/>
        </w:rPr>
        <w:t>Directive 2009/125/EC of the European Parliament and of the Council of 21 October 2009 establishing a framework for the setting of ecodesign requirements for energy-related products (OJ L 285, 31.10.2009, p.10)</w:t>
      </w:r>
    </w:p>
    <w:p>
      <w:pPr>
        <w:spacing w:line="230" w:lineRule="exact" w:before="1"/>
        <w:ind w:left="132" w:right="117" w:firstLine="0"/>
        <w:jc w:val="both"/>
        <w:rPr>
          <w:sz w:val="20"/>
        </w:rPr>
      </w:pPr>
      <w:r>
        <w:rPr>
          <w:position w:val="9"/>
          <w:sz w:val="13"/>
        </w:rPr>
        <w:t>4 </w:t>
      </w:r>
      <w:r>
        <w:rPr>
          <w:sz w:val="20"/>
        </w:rPr>
        <w:t>Regulation (EC) No 245/2009 of 18 March 2009 implementing Directive 2005/32/EC of the European Parliament and of the Council with regard to ecodesign requirements for fluorescent lamps without integrated ballast, for high intensity discharge lamps, and for ballasts and luminaires able to operate such lamps, and repealing Directive 2000/55/EC of the European Parliament and of the Council. (OJ L 76, 24.3.2009, p.17).</w:t>
      </w:r>
    </w:p>
    <w:p>
      <w:pPr>
        <w:spacing w:line="230" w:lineRule="exact" w:before="1"/>
        <w:ind w:left="132" w:right="113" w:firstLine="0"/>
        <w:jc w:val="left"/>
        <w:rPr>
          <w:sz w:val="20"/>
        </w:rPr>
      </w:pPr>
      <w:r>
        <w:rPr>
          <w:position w:val="9"/>
          <w:sz w:val="13"/>
        </w:rPr>
        <w:t>5 </w:t>
      </w:r>
      <w:r>
        <w:rPr>
          <w:color w:val="0000FF"/>
          <w:sz w:val="20"/>
          <w:u w:val="single" w:color="0000FF"/>
        </w:rPr>
        <w:t>Draft Commission Regulation laying down ecodesign requirements for light sources and separate control gears pursuant to Directive 2009/125/EC of the European Parliament and</w:t>
      </w:r>
      <w:r>
        <w:rPr>
          <w:color w:val="0000FF"/>
          <w:sz w:val="20"/>
        </w:rPr>
        <w:t> </w:t>
      </w:r>
      <w:r>
        <w:rPr>
          <w:color w:val="0000FF"/>
          <w:sz w:val="20"/>
          <w:u w:val="single" w:color="0000FF"/>
        </w:rPr>
        <w:t>of the Council and repealing Commission Regulations (EC) No 244/2009, (EC) No 245/2009 and (EU) No 1194/2012</w:t>
      </w:r>
    </w:p>
    <w:p>
      <w:pPr>
        <w:spacing w:after="0" w:line="230" w:lineRule="exact"/>
        <w:jc w:val="left"/>
        <w:rPr>
          <w:sz w:val="20"/>
        </w:rPr>
        <w:sectPr>
          <w:footerReference w:type="default" r:id="rId6"/>
          <w:pgSz w:w="16840" w:h="11900" w:orient="landscape"/>
          <w:pgMar w:footer="1334" w:header="0" w:top="1100" w:bottom="1520" w:left="1000" w:right="102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ind w:left="132"/>
      </w:pPr>
      <w:r>
        <w:rPr/>
        <w:t>This document provides the EU GPP criteria for the product group ‘road lighting and traffic signals’.</w:t>
      </w:r>
    </w:p>
    <w:p>
      <w:pPr>
        <w:pStyle w:val="BodyText"/>
        <w:spacing w:before="120"/>
        <w:ind w:left="132" w:right="114"/>
        <w:jc w:val="both"/>
      </w:pPr>
      <w:r>
        <w:rPr/>
        <w:t>The environmental aspects covered by EU GPP criteria for road lighting are split into three broad sections: energy consumption, light pollution and lifetime. An accompanying technical report and a guidance document provide further rationale supporting the selection of these criteria and references for further information. The procurement of traffic signals is considered separately using criteria that are predominantly centred on life cycle costs.</w:t>
      </w:r>
    </w:p>
    <w:p>
      <w:pPr>
        <w:pStyle w:val="BodyText"/>
        <w:spacing w:before="120"/>
        <w:ind w:left="132" w:right="111"/>
        <w:jc w:val="both"/>
      </w:pPr>
      <w:r>
        <w:rPr/>
        <w:t>The criteria are made up of selection criteria, technical specifications, award criteria and contract performance clauses. They may be divided into two levels:</w:t>
      </w:r>
    </w:p>
    <w:p>
      <w:pPr>
        <w:pStyle w:val="ListParagraph"/>
        <w:numPr>
          <w:ilvl w:val="0"/>
          <w:numId w:val="2"/>
        </w:numPr>
        <w:tabs>
          <w:tab w:pos="853" w:val="left" w:leader="none"/>
        </w:tabs>
        <w:spacing w:line="220" w:lineRule="auto" w:before="155" w:after="0"/>
        <w:ind w:left="852" w:right="117" w:hanging="360"/>
        <w:jc w:val="left"/>
        <w:rPr>
          <w:sz w:val="24"/>
        </w:rPr>
      </w:pPr>
      <w:r>
        <w:rPr>
          <w:b/>
          <w:i/>
          <w:sz w:val="24"/>
        </w:rPr>
        <w:t>Core criteria </w:t>
      </w:r>
      <w:r>
        <w:rPr>
          <w:sz w:val="24"/>
        </w:rPr>
        <w:t>— </w:t>
      </w:r>
      <w:r>
        <w:rPr>
          <w:i/>
          <w:sz w:val="24"/>
        </w:rPr>
        <w:t>these are designed for easy application of GPP, focusing on the key area(s) of environmental performance of a product and </w:t>
      </w:r>
      <w:r>
        <w:rPr>
          <w:i/>
          <w:sz w:val="24"/>
        </w:rPr>
        <w:t>aimed at keeping administrative costs for companies to a</w:t>
      </w:r>
      <w:r>
        <w:rPr>
          <w:i/>
          <w:spacing w:val="-8"/>
          <w:sz w:val="24"/>
        </w:rPr>
        <w:t> </w:t>
      </w:r>
      <w:r>
        <w:rPr>
          <w:i/>
          <w:sz w:val="24"/>
        </w:rPr>
        <w:t>minimum</w:t>
      </w:r>
      <w:r>
        <w:rPr>
          <w:sz w:val="24"/>
        </w:rPr>
        <w:t>.</w:t>
      </w:r>
    </w:p>
    <w:p>
      <w:pPr>
        <w:pStyle w:val="ListParagraph"/>
        <w:numPr>
          <w:ilvl w:val="0"/>
          <w:numId w:val="2"/>
        </w:numPr>
        <w:tabs>
          <w:tab w:pos="853" w:val="left" w:leader="none"/>
        </w:tabs>
        <w:spacing w:line="220" w:lineRule="auto" w:before="161" w:after="0"/>
        <w:ind w:left="852" w:right="113" w:hanging="360"/>
        <w:jc w:val="left"/>
        <w:rPr>
          <w:sz w:val="24"/>
        </w:rPr>
      </w:pPr>
      <w:r>
        <w:rPr>
          <w:b/>
          <w:i/>
          <w:sz w:val="24"/>
        </w:rPr>
        <w:t>Comprehensive criteria </w:t>
      </w:r>
      <w:r>
        <w:rPr>
          <w:i/>
          <w:sz w:val="24"/>
        </w:rPr>
        <w:t>— which take into account more aspects or higher levels of environmental performance, for use by any authorities that </w:t>
      </w:r>
      <w:r>
        <w:rPr>
          <w:i/>
          <w:sz w:val="24"/>
        </w:rPr>
        <w:t>want to go further in supporting environmental and innovation</w:t>
      </w:r>
      <w:r>
        <w:rPr>
          <w:i/>
          <w:spacing w:val="-1"/>
          <w:sz w:val="24"/>
        </w:rPr>
        <w:t> </w:t>
      </w:r>
      <w:r>
        <w:rPr>
          <w:i/>
          <w:sz w:val="24"/>
        </w:rPr>
        <w:t>goals</w:t>
      </w:r>
      <w:r>
        <w:rPr>
          <w:sz w:val="24"/>
        </w:rPr>
        <w:t>.</w:t>
      </w:r>
    </w:p>
    <w:p>
      <w:pPr>
        <w:pStyle w:val="BodyText"/>
        <w:spacing w:before="126"/>
        <w:ind w:left="132"/>
      </w:pPr>
      <w:r>
        <w:rPr/>
        <w:t>The wording ‘same for core and comprehensive criteria’ appears if the criteria are identical for both categories.</w:t>
      </w:r>
    </w:p>
    <w:p>
      <w:pPr>
        <w:pStyle w:val="BodyText"/>
        <w:spacing w:before="120"/>
        <w:ind w:left="132" w:right="112"/>
        <w:jc w:val="both"/>
      </w:pPr>
      <w:r>
        <w:rPr/>
        <w:t>Road lighting equipment within the scope of the product group may vary substantially in nature and is rapidly evolving. For this reason, a number of criteria carry conditional clauses stating the circumstances under which the criteria should be considered relevant enough to include in the invitation to tender (ITT).</w:t>
      </w:r>
    </w:p>
    <w:p>
      <w:pPr>
        <w:pStyle w:val="BodyText"/>
        <w:spacing w:before="120"/>
        <w:ind w:left="132" w:right="111"/>
        <w:jc w:val="both"/>
      </w:pPr>
      <w:r>
        <w:rPr/>
        <w:t>The criteria contained in this document are of potential interest to any public authority that owns or manages road lighting installations and/or needs to procure new road lighting equipment. Ultimately, national or regional planning laws determine whether a road needs to be lit and, if so, to what light level (see Figure 15 in the technical report). Prior to deciding on publishing any call for tender, it is strongly recommended that the public authority assesses any current lighting equipment used in its infrastructure and compares the existing technical performance and cost factors with products available on the market. If a preliminary life cycle cost indicates that major savings in energy/maintenance costs are possible, incorporating EU GPP criteria becomes especially relevant. Depending on the situation (e.g. new installation, retrofit and redesign of an installation, simple retrofit of an installation, retrofit of controls only, or like-for-like relamping only), different criteria assume different degrees of relevance (see Figure 4 in the technical report).</w:t>
      </w:r>
    </w:p>
    <w:p>
      <w:pPr>
        <w:spacing w:after="0"/>
        <w:jc w:val="both"/>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1"/>
          <w:numId w:val="3"/>
        </w:numPr>
        <w:tabs>
          <w:tab w:pos="984" w:val="left" w:leader="none"/>
          <w:tab w:pos="985" w:val="left" w:leader="none"/>
        </w:tabs>
        <w:spacing w:line="240" w:lineRule="auto" w:before="246" w:after="0"/>
        <w:ind w:left="984" w:right="0" w:hanging="852"/>
        <w:jc w:val="left"/>
      </w:pPr>
      <w:bookmarkStart w:name="_TOC_250007" w:id="2"/>
      <w:r>
        <w:rPr/>
        <w:t>Definition and</w:t>
      </w:r>
      <w:r>
        <w:rPr>
          <w:spacing w:val="-1"/>
        </w:rPr>
        <w:t> </w:t>
      </w:r>
      <w:bookmarkEnd w:id="2"/>
      <w:r>
        <w:rPr/>
        <w:t>scope</w:t>
      </w:r>
    </w:p>
    <w:p>
      <w:pPr>
        <w:pStyle w:val="BodyText"/>
        <w:spacing w:before="10"/>
        <w:rPr>
          <w:b/>
          <w:sz w:val="33"/>
        </w:rPr>
      </w:pPr>
    </w:p>
    <w:p>
      <w:pPr>
        <w:pStyle w:val="BodyText"/>
        <w:ind w:left="132"/>
      </w:pPr>
      <w:r>
        <w:rPr>
          <w:b/>
        </w:rPr>
        <w:t>Road lighting: </w:t>
      </w:r>
      <w:r>
        <w:rPr/>
        <w:t>These criteria cover the procurement of lighting equipment for:</w:t>
      </w:r>
    </w:p>
    <w:p>
      <w:pPr>
        <w:pStyle w:val="ListParagraph"/>
        <w:numPr>
          <w:ilvl w:val="2"/>
          <w:numId w:val="3"/>
        </w:numPr>
        <w:tabs>
          <w:tab w:pos="852" w:val="left" w:leader="none"/>
          <w:tab w:pos="853" w:val="left" w:leader="none"/>
        </w:tabs>
        <w:spacing w:line="240" w:lineRule="auto" w:before="122" w:after="0"/>
        <w:ind w:left="852" w:right="0" w:hanging="360"/>
        <w:jc w:val="left"/>
        <w:rPr>
          <w:sz w:val="24"/>
        </w:rPr>
      </w:pPr>
      <w:r>
        <w:rPr>
          <w:sz w:val="24"/>
        </w:rPr>
        <w:t>road lighting in new lighting</w:t>
      </w:r>
      <w:r>
        <w:rPr>
          <w:spacing w:val="-7"/>
          <w:sz w:val="24"/>
        </w:rPr>
        <w:t> </w:t>
      </w:r>
      <w:r>
        <w:rPr>
          <w:sz w:val="24"/>
        </w:rPr>
        <w:t>installations;</w:t>
      </w:r>
    </w:p>
    <w:p>
      <w:pPr>
        <w:pStyle w:val="ListParagraph"/>
        <w:numPr>
          <w:ilvl w:val="2"/>
          <w:numId w:val="3"/>
        </w:numPr>
        <w:tabs>
          <w:tab w:pos="852" w:val="left" w:leader="none"/>
          <w:tab w:pos="853" w:val="left" w:leader="none"/>
        </w:tabs>
        <w:spacing w:line="240" w:lineRule="auto" w:before="41" w:after="0"/>
        <w:ind w:left="852" w:right="0" w:hanging="360"/>
        <w:jc w:val="left"/>
        <w:rPr>
          <w:sz w:val="24"/>
        </w:rPr>
      </w:pPr>
      <w:r>
        <w:rPr>
          <w:sz w:val="24"/>
        </w:rPr>
        <w:t>retrofitting of different luminaires to existing lighting</w:t>
      </w:r>
      <w:r>
        <w:rPr>
          <w:spacing w:val="-11"/>
          <w:sz w:val="24"/>
        </w:rPr>
        <w:t> </w:t>
      </w:r>
      <w:r>
        <w:rPr>
          <w:sz w:val="24"/>
        </w:rPr>
        <w:t>installations;</w:t>
      </w:r>
    </w:p>
    <w:p>
      <w:pPr>
        <w:pStyle w:val="ListParagraph"/>
        <w:numPr>
          <w:ilvl w:val="2"/>
          <w:numId w:val="3"/>
        </w:numPr>
        <w:tabs>
          <w:tab w:pos="852" w:val="left" w:leader="none"/>
          <w:tab w:pos="853" w:val="left" w:leader="none"/>
        </w:tabs>
        <w:spacing w:line="240" w:lineRule="auto" w:before="43" w:after="0"/>
        <w:ind w:left="852" w:right="0" w:hanging="360"/>
        <w:jc w:val="left"/>
        <w:rPr>
          <w:sz w:val="24"/>
        </w:rPr>
      </w:pPr>
      <w:r>
        <w:rPr>
          <w:sz w:val="24"/>
        </w:rPr>
        <w:t>retrofitting of different light sources or controls to existing luminaires;</w:t>
      </w:r>
      <w:r>
        <w:rPr>
          <w:spacing w:val="-8"/>
          <w:sz w:val="24"/>
        </w:rPr>
        <w:t> </w:t>
      </w:r>
      <w:r>
        <w:rPr>
          <w:sz w:val="24"/>
        </w:rPr>
        <w:t>or</w:t>
      </w:r>
    </w:p>
    <w:p>
      <w:pPr>
        <w:pStyle w:val="ListParagraph"/>
        <w:numPr>
          <w:ilvl w:val="2"/>
          <w:numId w:val="3"/>
        </w:numPr>
        <w:tabs>
          <w:tab w:pos="852" w:val="left" w:leader="none"/>
          <w:tab w:pos="853" w:val="left" w:leader="none"/>
        </w:tabs>
        <w:spacing w:line="240" w:lineRule="auto" w:before="41" w:after="0"/>
        <w:ind w:left="852" w:right="0" w:hanging="360"/>
        <w:jc w:val="left"/>
        <w:rPr>
          <w:sz w:val="24"/>
        </w:rPr>
      </w:pPr>
      <w:r>
        <w:rPr>
          <w:sz w:val="24"/>
        </w:rPr>
        <w:t>the simple replacement of light sources, lamps or luminaires on a like-for-like basis in existing lighting</w:t>
      </w:r>
      <w:r>
        <w:rPr>
          <w:spacing w:val="-26"/>
          <w:sz w:val="24"/>
        </w:rPr>
        <w:t> </w:t>
      </w:r>
      <w:r>
        <w:rPr>
          <w:sz w:val="24"/>
        </w:rPr>
        <w:t>installations.</w:t>
      </w:r>
    </w:p>
    <w:p>
      <w:pPr>
        <w:pStyle w:val="BodyText"/>
        <w:spacing w:before="8"/>
        <w:rPr>
          <w:sz w:val="20"/>
        </w:rPr>
      </w:pPr>
    </w:p>
    <w:p>
      <w:pPr>
        <w:pStyle w:val="BodyText"/>
        <w:ind w:left="132"/>
      </w:pPr>
      <w:r>
        <w:rPr/>
        <w:t>In accordance with standard EN 13201-1, the term ‘road lighting’ refers to fixed lighting installations intended to provide good visibility to users of outdoor public traffic areas during the hours of darkness to support traffic safety, traffic flow and public security.</w:t>
      </w:r>
    </w:p>
    <w:p>
      <w:pPr>
        <w:pStyle w:val="BodyText"/>
        <w:spacing w:before="120"/>
        <w:ind w:left="132"/>
      </w:pPr>
      <w:r>
        <w:rPr/>
        <w:t>It specifically excludes lighting installations for tunnels, toll stations, canals and locks, parking lots, commercial or industrial sites, sports installations, monuments and building facades.</w:t>
      </w:r>
    </w:p>
    <w:p>
      <w:pPr>
        <w:pStyle w:val="BodyText"/>
        <w:spacing w:before="120"/>
        <w:ind w:left="132" w:right="252"/>
      </w:pPr>
      <w:r>
        <w:rPr/>
        <w:t>The following technical definitions are provided to help apply the criteria (please refer to the technical report for details and further technical definitions):</w:t>
      </w:r>
    </w:p>
    <w:p>
      <w:pPr>
        <w:pStyle w:val="BodyText"/>
        <w:ind w:left="132"/>
      </w:pPr>
      <w:r>
        <w:rPr/>
        <w:t>'luminaire efficacy': ratio between luminous flux output from the luminaire (in lumens) and power consumption (in Watts)</w:t>
      </w:r>
    </w:p>
    <w:p>
      <w:pPr>
        <w:pStyle w:val="BodyText"/>
        <w:rPr>
          <w:sz w:val="26"/>
        </w:rPr>
      </w:pPr>
    </w:p>
    <w:p>
      <w:pPr>
        <w:pStyle w:val="BodyText"/>
        <w:spacing w:before="217"/>
        <w:ind w:left="132"/>
      </w:pPr>
      <w:r>
        <w:rPr>
          <w:b/>
        </w:rPr>
        <w:t>Traffic signals</w:t>
      </w:r>
      <w:r>
        <w:rPr/>
        <w:t>: Red, yellow and green signal lights for road traffic with 200mm and 300mm roundels, in line with standard EN 12368, are included. Portable signal lights are specifically excluded.</w:t>
      </w:r>
    </w:p>
    <w:p>
      <w:pPr>
        <w:pStyle w:val="BodyText"/>
        <w:rPr>
          <w:sz w:val="26"/>
        </w:rPr>
      </w:pPr>
    </w:p>
    <w:p>
      <w:pPr>
        <w:pStyle w:val="Heading1"/>
        <w:numPr>
          <w:ilvl w:val="1"/>
          <w:numId w:val="3"/>
        </w:numPr>
        <w:tabs>
          <w:tab w:pos="984" w:val="left" w:leader="none"/>
          <w:tab w:pos="985" w:val="left" w:leader="none"/>
        </w:tabs>
        <w:spacing w:line="240" w:lineRule="auto" w:before="223" w:after="0"/>
        <w:ind w:left="984" w:right="0" w:hanging="852"/>
        <w:jc w:val="left"/>
      </w:pPr>
      <w:bookmarkStart w:name="_TOC_250006" w:id="3"/>
      <w:r>
        <w:rPr/>
        <w:t>General note on</w:t>
      </w:r>
      <w:r>
        <w:rPr>
          <w:spacing w:val="-5"/>
        </w:rPr>
        <w:t> </w:t>
      </w:r>
      <w:bookmarkEnd w:id="3"/>
      <w:r>
        <w:rPr/>
        <w:t>verification</w:t>
      </w:r>
    </w:p>
    <w:p>
      <w:pPr>
        <w:pStyle w:val="BodyText"/>
        <w:spacing w:before="10"/>
        <w:rPr>
          <w:b/>
          <w:sz w:val="33"/>
        </w:rPr>
      </w:pPr>
    </w:p>
    <w:p>
      <w:pPr>
        <w:pStyle w:val="BodyText"/>
        <w:ind w:left="132" w:right="252"/>
      </w:pPr>
      <w:r>
        <w:rPr/>
        <w:t>For some criteria, the proposed means of verification involves using test data or reports. For each of these criteria, the relevant test methods are indicated wherever possible. It is up to the public authority to decide whether test results should be provided before or after the awarding of the</w:t>
      </w:r>
    </w:p>
    <w:p>
      <w:pPr>
        <w:spacing w:after="0"/>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ind w:left="132" w:right="110"/>
        <w:jc w:val="both"/>
      </w:pPr>
      <w:r>
        <w:rPr/>
        <w:t>contract. In general, it does not seem necessary to require all tenderers to provide all test results from the outset. To reduce the burden on tenderers and public authorities, a self-declaration could be considered sufficient when submitting bids. Subsequently, the different options below could determine if and when tests might be required.</w:t>
      </w:r>
    </w:p>
    <w:p>
      <w:pPr>
        <w:pStyle w:val="BodyText"/>
        <w:rPr>
          <w:sz w:val="26"/>
        </w:rPr>
      </w:pPr>
    </w:p>
    <w:p>
      <w:pPr>
        <w:pStyle w:val="ListParagraph"/>
        <w:numPr>
          <w:ilvl w:val="0"/>
          <w:numId w:val="4"/>
        </w:numPr>
        <w:tabs>
          <w:tab w:pos="740" w:val="left" w:leader="none"/>
        </w:tabs>
        <w:spacing w:line="240" w:lineRule="auto" w:before="217" w:after="0"/>
        <w:ind w:left="739" w:right="0" w:hanging="247"/>
        <w:jc w:val="left"/>
        <w:rPr>
          <w:sz w:val="24"/>
        </w:rPr>
      </w:pPr>
      <w:r>
        <w:rPr>
          <w:sz w:val="24"/>
          <w:u w:val="single"/>
        </w:rPr>
        <w:t>At tendering</w:t>
      </w:r>
      <w:r>
        <w:rPr>
          <w:spacing w:val="-5"/>
          <w:sz w:val="24"/>
          <w:u w:val="single"/>
        </w:rPr>
        <w:t> </w:t>
      </w:r>
      <w:r>
        <w:rPr>
          <w:sz w:val="24"/>
          <w:u w:val="single"/>
        </w:rPr>
        <w:t>stage:</w:t>
      </w:r>
    </w:p>
    <w:p>
      <w:pPr>
        <w:pStyle w:val="BodyText"/>
        <w:spacing w:before="120"/>
        <w:ind w:left="852" w:right="117"/>
        <w:jc w:val="both"/>
      </w:pPr>
      <w:r>
        <w:rPr/>
        <w:t>For </w:t>
      </w:r>
      <w:r>
        <w:rPr>
          <w:i/>
        </w:rPr>
        <w:t>one-off supply contracts</w:t>
      </w:r>
      <w:r>
        <w:rPr/>
        <w:t>, the bidder with the most economically advantageous tender could be required to provide this proof. If the proof is deemed to be sufficient, the contract can be awarded. If the proof is deemed insufficient or non-compliant, then:</w:t>
      </w:r>
    </w:p>
    <w:p>
      <w:pPr>
        <w:pStyle w:val="ListParagraph"/>
        <w:numPr>
          <w:ilvl w:val="1"/>
          <w:numId w:val="4"/>
        </w:numPr>
        <w:tabs>
          <w:tab w:pos="1572" w:val="left" w:leader="none"/>
          <w:tab w:pos="1573" w:val="left" w:leader="none"/>
        </w:tabs>
        <w:spacing w:line="240" w:lineRule="auto" w:before="120" w:after="0"/>
        <w:ind w:left="1572" w:right="117" w:hanging="360"/>
        <w:jc w:val="left"/>
        <w:rPr>
          <w:sz w:val="24"/>
        </w:rPr>
      </w:pPr>
      <w:r>
        <w:rPr>
          <w:sz w:val="24"/>
        </w:rPr>
        <w:t>where the means of verification concerns a </w:t>
      </w:r>
      <w:r>
        <w:rPr>
          <w:sz w:val="24"/>
          <w:u w:val="single"/>
        </w:rPr>
        <w:t>technical specification</w:t>
      </w:r>
      <w:r>
        <w:rPr>
          <w:sz w:val="24"/>
        </w:rPr>
        <w:t>, the proof would be requested from the next highest scoring bidder, who would then be considered for contract</w:t>
      </w:r>
      <w:r>
        <w:rPr>
          <w:spacing w:val="-9"/>
          <w:sz w:val="24"/>
        </w:rPr>
        <w:t> </w:t>
      </w:r>
      <w:r>
        <w:rPr>
          <w:sz w:val="24"/>
        </w:rPr>
        <w:t>award;</w:t>
      </w:r>
    </w:p>
    <w:p>
      <w:pPr>
        <w:pStyle w:val="ListParagraph"/>
        <w:numPr>
          <w:ilvl w:val="1"/>
          <w:numId w:val="4"/>
        </w:numPr>
        <w:tabs>
          <w:tab w:pos="1573" w:val="left" w:leader="none"/>
        </w:tabs>
        <w:spacing w:line="240" w:lineRule="auto" w:before="120" w:after="0"/>
        <w:ind w:left="1572" w:right="114" w:hanging="360"/>
        <w:jc w:val="left"/>
        <w:rPr>
          <w:sz w:val="24"/>
        </w:rPr>
      </w:pPr>
      <w:r>
        <w:rPr>
          <w:sz w:val="24"/>
        </w:rPr>
        <w:t>where the means of verification concerns an </w:t>
      </w:r>
      <w:r>
        <w:rPr>
          <w:sz w:val="24"/>
          <w:u w:val="single"/>
        </w:rPr>
        <w:t>award criterion</w:t>
      </w:r>
      <w:r>
        <w:rPr>
          <w:sz w:val="24"/>
        </w:rPr>
        <w:t>, the additional points awarded would be removed and the tender ranking would be recalculated, with all the ensuing</w:t>
      </w:r>
      <w:r>
        <w:rPr>
          <w:spacing w:val="-7"/>
          <w:sz w:val="24"/>
        </w:rPr>
        <w:t> </w:t>
      </w:r>
      <w:r>
        <w:rPr>
          <w:sz w:val="24"/>
        </w:rPr>
        <w:t>consequences.</w:t>
      </w:r>
    </w:p>
    <w:p>
      <w:pPr>
        <w:pStyle w:val="BodyText"/>
        <w:spacing w:before="120"/>
        <w:ind w:left="852" w:right="111"/>
        <w:jc w:val="both"/>
      </w:pPr>
      <w:r>
        <w:rPr/>
        <w:t>A test report verifies that a sample product has been tested for certain requirements, not the items actually delivered under the contract. For framework contracts, the situation may be different. This scenario is covered further in the next point on contract execution and in the additional explanations</w:t>
      </w:r>
      <w:r>
        <w:rPr>
          <w:spacing w:val="-2"/>
        </w:rPr>
        <w:t> </w:t>
      </w:r>
      <w:r>
        <w:rPr/>
        <w:t>below.</w:t>
      </w:r>
    </w:p>
    <w:p>
      <w:pPr>
        <w:pStyle w:val="BodyText"/>
        <w:rPr>
          <w:sz w:val="26"/>
        </w:rPr>
      </w:pPr>
    </w:p>
    <w:p>
      <w:pPr>
        <w:pStyle w:val="ListParagraph"/>
        <w:numPr>
          <w:ilvl w:val="0"/>
          <w:numId w:val="4"/>
        </w:numPr>
        <w:tabs>
          <w:tab w:pos="753" w:val="left" w:leader="none"/>
        </w:tabs>
        <w:spacing w:line="240" w:lineRule="auto" w:before="217" w:after="0"/>
        <w:ind w:left="752" w:right="0" w:hanging="260"/>
        <w:jc w:val="left"/>
        <w:rPr>
          <w:sz w:val="24"/>
        </w:rPr>
      </w:pPr>
      <w:r>
        <w:rPr>
          <w:sz w:val="24"/>
          <w:u w:val="single"/>
        </w:rPr>
        <w:t>During contract</w:t>
      </w:r>
      <w:r>
        <w:rPr>
          <w:spacing w:val="-5"/>
          <w:sz w:val="24"/>
          <w:u w:val="single"/>
        </w:rPr>
        <w:t> </w:t>
      </w:r>
      <w:r>
        <w:rPr>
          <w:sz w:val="24"/>
          <w:u w:val="single"/>
        </w:rPr>
        <w:t>execution:</w:t>
      </w:r>
    </w:p>
    <w:p>
      <w:pPr>
        <w:pStyle w:val="BodyText"/>
        <w:spacing w:before="120"/>
        <w:ind w:left="852" w:right="115"/>
        <w:jc w:val="both"/>
      </w:pPr>
      <w:r>
        <w:rPr/>
        <w:t>Test results could be requested for one or several items delivered under the contract, either in general or if there are doubts about false declarations. This is particularly important for framework contracts which do not stipulate an initial order.</w:t>
      </w:r>
    </w:p>
    <w:p>
      <w:pPr>
        <w:pStyle w:val="BodyText"/>
        <w:spacing w:before="120"/>
        <w:ind w:left="852" w:right="113"/>
        <w:jc w:val="both"/>
      </w:pPr>
      <w:r>
        <w:rPr/>
        <w:t>Explicitly setting contract performance clauses is advisable. These should stipulate that the contracting authority is entitled to carry out random verification tests at any time during the term of the contract. If the test results show that the delivered products do not meet the criteria, the contracting authority is entitled to apply penalties and may terminate the contract. Some public authorities include conditions under which, if the tests show that the product meets their requirements, the testing costs must be borne by the public authority, but if not, the supplier must bear the costs.</w:t>
      </w:r>
    </w:p>
    <w:p>
      <w:pPr>
        <w:spacing w:after="0"/>
        <w:jc w:val="both"/>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ind w:left="852"/>
      </w:pPr>
      <w:r>
        <w:rPr/>
        <w:t>For </w:t>
      </w:r>
      <w:r>
        <w:rPr>
          <w:i/>
        </w:rPr>
        <w:t>framework agreements</w:t>
      </w:r>
      <w:r>
        <w:rPr/>
        <w:t>, the point at which proof has to be provided will depend on the specific contract set-up:</w:t>
      </w:r>
    </w:p>
    <w:p>
      <w:pPr>
        <w:pStyle w:val="ListParagraph"/>
        <w:numPr>
          <w:ilvl w:val="1"/>
          <w:numId w:val="4"/>
        </w:numPr>
        <w:tabs>
          <w:tab w:pos="1573" w:val="left" w:leader="none"/>
        </w:tabs>
        <w:spacing w:line="240" w:lineRule="auto" w:before="120" w:after="0"/>
        <w:ind w:left="1572" w:right="112" w:hanging="360"/>
        <w:jc w:val="both"/>
        <w:rPr>
          <w:sz w:val="24"/>
        </w:rPr>
      </w:pPr>
      <w:r>
        <w:rPr>
          <w:sz w:val="24"/>
        </w:rPr>
        <w:t>for </w:t>
      </w:r>
      <w:r>
        <w:rPr>
          <w:sz w:val="24"/>
          <w:u w:val="single"/>
        </w:rPr>
        <w:t>framework agreements with a single operator</w:t>
      </w:r>
      <w:r>
        <w:rPr>
          <w:sz w:val="24"/>
        </w:rPr>
        <w:t> where the individual items to be delivered are identified when awarding the framework agreement, and where it is just a question of how many units will be needed, the same considerations apply as for the one-off supply contracts described above;</w:t>
      </w:r>
    </w:p>
    <w:p>
      <w:pPr>
        <w:pStyle w:val="ListParagraph"/>
        <w:numPr>
          <w:ilvl w:val="1"/>
          <w:numId w:val="4"/>
        </w:numPr>
        <w:tabs>
          <w:tab w:pos="1573" w:val="left" w:leader="none"/>
        </w:tabs>
        <w:spacing w:line="240" w:lineRule="auto" w:before="120" w:after="0"/>
        <w:ind w:left="1572" w:right="113" w:hanging="360"/>
        <w:jc w:val="both"/>
        <w:rPr>
          <w:sz w:val="24"/>
        </w:rPr>
      </w:pPr>
      <w:r>
        <w:rPr>
          <w:sz w:val="24"/>
        </w:rPr>
        <w:t>for </w:t>
      </w:r>
      <w:r>
        <w:rPr>
          <w:sz w:val="24"/>
          <w:u w:val="single"/>
        </w:rPr>
        <w:t>framework agreements that pre-select several potential suppliers with ensuing competitions</w:t>
      </w:r>
      <w:r>
        <w:rPr>
          <w:sz w:val="24"/>
        </w:rPr>
        <w:t> among them, tenderers will only need to show at this initial pre-selection stage their capability to deliver items meeting the minimum performance requirements of the framework agreement. For ensuing call-down contracts (or orders) that are awarded following the competition among the pre-selected suppliers, in principle the same considerations as under a) and b) above apply, if additional requirements have to be proven under the competition. </w:t>
      </w:r>
      <w:r>
        <w:rPr>
          <w:spacing w:val="-3"/>
          <w:sz w:val="24"/>
        </w:rPr>
        <w:t>If </w:t>
      </w:r>
      <w:r>
        <w:rPr>
          <w:sz w:val="24"/>
        </w:rPr>
        <w:t>the competition is decided only on the basis of price, a check at the contract execution stage should be</w:t>
      </w:r>
      <w:r>
        <w:rPr>
          <w:spacing w:val="-39"/>
          <w:sz w:val="24"/>
        </w:rPr>
        <w:t> </w:t>
      </w:r>
      <w:r>
        <w:rPr>
          <w:sz w:val="24"/>
        </w:rPr>
        <w:t>considered.</w:t>
      </w:r>
    </w:p>
    <w:p>
      <w:pPr>
        <w:pStyle w:val="BodyText"/>
        <w:spacing w:before="120"/>
        <w:ind w:left="852" w:right="113"/>
        <w:jc w:val="both"/>
      </w:pPr>
      <w:r>
        <w:rPr/>
        <w:t>Please also note that, according to Article 44(2) of Directive 2014/24/EU, contracting authorities must accept other appropriate means of proof. This could include a technical dossier from the manufacturer, where the economic operator concerned had no access to test reports or no possibility of obtaining them within the relevant time limits. </w:t>
      </w:r>
      <w:r>
        <w:rPr>
          <w:spacing w:val="-3"/>
        </w:rPr>
        <w:t>In </w:t>
      </w:r>
      <w:r>
        <w:rPr/>
        <w:t>this case, the economic operator must demonstrate that it was not responsible  for the lack of access and that the works, supplies or services it provided meet the requirements or criteria set out in the technical specifications, the award criteria or the contract performance conditions. If there is a reference to a certificate/test report drawn up by a specific conformity assessment body for the execution of the tests, the contracting authorities must also accept certificates/test reports issued by other equivalent assessment</w:t>
      </w:r>
      <w:r>
        <w:rPr>
          <w:spacing w:val="-1"/>
        </w:rPr>
        <w:t> </w:t>
      </w:r>
      <w:r>
        <w:rPr/>
        <w:t>bodies.</w:t>
      </w:r>
    </w:p>
    <w:p>
      <w:pPr>
        <w:spacing w:after="0"/>
        <w:jc w:val="both"/>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spacing w:before="0"/>
        <w:ind w:left="852" w:right="0" w:firstLine="0"/>
        <w:jc w:val="left"/>
        <w:rPr>
          <w:sz w:val="20"/>
        </w:rPr>
      </w:pPr>
      <w:r>
        <w:rPr>
          <w:sz w:val="20"/>
        </w:rPr>
        <w:t>KEY ENVIRONMENTAL IMPACTS</w:t>
      </w:r>
    </w:p>
    <w:p>
      <w:pPr>
        <w:pStyle w:val="BodyText"/>
        <w:rPr>
          <w:sz w:val="22"/>
        </w:rPr>
      </w:pPr>
    </w:p>
    <w:p>
      <w:pPr>
        <w:pStyle w:val="BodyText"/>
        <w:spacing w:before="9"/>
        <w:rPr>
          <w:sz w:val="22"/>
        </w:rPr>
      </w:pPr>
    </w:p>
    <w:p>
      <w:pPr>
        <w:pStyle w:val="BodyText"/>
        <w:ind w:left="132" w:right="112"/>
        <w:jc w:val="both"/>
      </w:pPr>
      <w:r>
        <w:rPr/>
        <w:pict>
          <v:group style="position:absolute;margin-left:373.800995pt;margin-top:119.563126pt;width:64.2pt;height:47.3pt;mso-position-horizontal-relative:page;mso-position-vertical-relative:paragraph;z-index:-79360" coordorigin="7476,2391" coordsize="1284,946">
            <v:shape style="position:absolute;left:7490;top:2415;width:1260;height:900" coordorigin="7490,2415" coordsize="1260,900" path="m8436,3090l8436,2641,7490,2641,7649,2864,7649,3090,8436,3090xm7649,3090l7649,2864,7490,3090,7649,3090xm8750,2864l8436,2415,8436,3315,8750,2864xe" filled="true" fillcolor="#99cc00" stroked="false">
              <v:path arrowok="t"/>
              <v:fill type="solid"/>
            </v:shape>
            <v:shape style="position:absolute;left:7476;top:2391;width:1284;height:946" coordorigin="7476,2391" coordsize="1284,946" path="m8436,2634l7476,2634,7490,2654,7490,2648,7495,2636,7504,2648,8429,2648,8429,2641,8436,2634xm7642,2885l7642,2869,7639,2865,7476,3097,7490,3097,7490,3082,7504,3082,7642,2885xm7504,2648l7495,2636,7490,2648,7504,2648xm7656,2864l7504,2648,7490,2648,7490,2654,7639,2865,7642,2862,7642,2885,7656,2864xm7504,3082l7490,3082,7495,3094,7504,3082xm8443,3290l8443,3082,7504,3082,7495,3094,7490,3082,7490,3097,8429,3097,8429,3090,8436,3097,8436,3300,8443,3290xm7642,2869l7642,2862,7639,2865,7642,2869xm8760,2864l8429,2391,8429,2420,8443,2415,8443,2440,8743,2865,8746,2862,8746,2885,8760,2864xm8443,2440l8443,2415,8429,2420,8443,2440xm8443,2648l8443,2440,8429,2420,8429,2634,8436,2634,8436,2648,8443,2648xm8436,2648l8436,2634,8429,2641,8429,2648,8436,2648xm8436,3097l8429,3090,8429,3097,8436,3097xm8436,3300l8436,3097,8429,3097,8429,3310,8436,3300xm8746,2885l8746,2869,8743,2865,8429,3310,8443,3315,8443,3316,8746,2885xm8443,3316l8443,3315,8429,3310,8429,3337,8443,3316xm8746,2869l8746,2862,8743,2865,8746,2869xe" filled="true" fillcolor="#000000" stroked="false">
              <v:path arrowok="t"/>
              <v:fill type="solid"/>
            </v:shape>
            <w10:wrap type="none"/>
          </v:group>
        </w:pict>
      </w:r>
      <w:r>
        <w:rPr/>
        <w:t>Based on the available scientific evidence, the main environmental impacts of road lighting and traffic signals from the life cycle perspective are summarised in the table below (for further details, see the technical report). The same table also presents the EU GPP approach to mitigate or reduce those impacts.</w:t>
      </w:r>
    </w:p>
    <w:p>
      <w:pPr>
        <w:pStyle w:val="BodyText"/>
        <w:spacing w:before="7"/>
        <w:rPr>
          <w:sz w:val="21"/>
        </w:rPr>
      </w:pPr>
    </w:p>
    <w:tbl>
      <w:tblPr>
        <w:tblW w:w="0" w:type="auto"/>
        <w:jc w:val="left"/>
        <w:tblInd w:w="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40"/>
        <w:gridCol w:w="7537"/>
      </w:tblGrid>
      <w:tr>
        <w:trPr>
          <w:trHeight w:val="350" w:hRule="atLeast"/>
        </w:trPr>
        <w:tc>
          <w:tcPr>
            <w:tcW w:w="6640" w:type="dxa"/>
            <w:tcBorders>
              <w:top w:val="single" w:sz="4" w:space="0" w:color="000000"/>
              <w:left w:val="single" w:sz="4" w:space="0" w:color="000000"/>
              <w:bottom w:val="single" w:sz="4" w:space="0" w:color="000000"/>
            </w:tcBorders>
            <w:shd w:val="clear" w:color="auto" w:fill="C0C0C0"/>
          </w:tcPr>
          <w:p>
            <w:pPr>
              <w:pStyle w:val="TableParagraph"/>
              <w:spacing w:line="228" w:lineRule="exact"/>
              <w:ind w:left="558"/>
              <w:rPr>
                <w:b/>
                <w:sz w:val="20"/>
              </w:rPr>
            </w:pPr>
            <w:r>
              <w:rPr>
                <w:b/>
                <w:sz w:val="20"/>
              </w:rPr>
              <w:t>Key environmental impacts during road lighting life cycle</w:t>
            </w:r>
          </w:p>
        </w:tc>
        <w:tc>
          <w:tcPr>
            <w:tcW w:w="7537" w:type="dxa"/>
            <w:tcBorders>
              <w:top w:val="single" w:sz="4" w:space="0" w:color="000000"/>
              <w:bottom w:val="single" w:sz="4" w:space="0" w:color="000000"/>
              <w:right w:val="single" w:sz="4" w:space="0" w:color="000000"/>
            </w:tcBorders>
            <w:shd w:val="clear" w:color="auto" w:fill="C0C0C0"/>
          </w:tcPr>
          <w:p>
            <w:pPr>
              <w:pStyle w:val="TableParagraph"/>
              <w:spacing w:line="228" w:lineRule="exact"/>
              <w:ind w:left="1270"/>
              <w:rPr>
                <w:b/>
                <w:sz w:val="20"/>
              </w:rPr>
            </w:pPr>
            <w:r>
              <w:rPr>
                <w:b/>
                <w:sz w:val="20"/>
              </w:rPr>
              <w:t>Proposed EU GPP road lighting approach</w:t>
            </w:r>
          </w:p>
        </w:tc>
      </w:tr>
      <w:tr>
        <w:trPr>
          <w:trHeight w:val="250" w:hRule="atLeast"/>
        </w:trPr>
        <w:tc>
          <w:tcPr>
            <w:tcW w:w="6640" w:type="dxa"/>
            <w:tcBorders>
              <w:top w:val="single" w:sz="4" w:space="0" w:color="000000"/>
              <w:left w:val="single" w:sz="4" w:space="0" w:color="000000"/>
            </w:tcBorders>
          </w:tcPr>
          <w:p>
            <w:pPr>
              <w:pStyle w:val="TableParagraph"/>
              <w:numPr>
                <w:ilvl w:val="0"/>
                <w:numId w:val="5"/>
              </w:numPr>
              <w:tabs>
                <w:tab w:pos="359" w:val="left" w:leader="none"/>
                <w:tab w:pos="828" w:val="left" w:leader="none"/>
              </w:tabs>
              <w:spacing w:line="223" w:lineRule="exact" w:before="7" w:after="0"/>
              <w:ind w:left="827" w:right="966" w:hanging="360"/>
              <w:jc w:val="right"/>
              <w:rPr>
                <w:sz w:val="20"/>
              </w:rPr>
            </w:pPr>
            <w:r>
              <w:rPr>
                <w:sz w:val="20"/>
              </w:rPr>
              <w:t>CO</w:t>
            </w:r>
            <w:r>
              <w:rPr>
                <w:sz w:val="20"/>
                <w:vertAlign w:val="subscript"/>
              </w:rPr>
              <w:t>2</w:t>
            </w:r>
            <w:r>
              <w:rPr>
                <w:sz w:val="20"/>
                <w:vertAlign w:val="baseline"/>
              </w:rPr>
              <w:t> and other greenhouse gas emissions as a result</w:t>
            </w:r>
            <w:r>
              <w:rPr>
                <w:spacing w:val="48"/>
                <w:sz w:val="20"/>
                <w:vertAlign w:val="baseline"/>
              </w:rPr>
              <w:t> </w:t>
            </w:r>
            <w:r>
              <w:rPr>
                <w:sz w:val="20"/>
                <w:vertAlign w:val="baseline"/>
              </w:rPr>
              <w:t>of</w:t>
            </w:r>
          </w:p>
        </w:tc>
        <w:tc>
          <w:tcPr>
            <w:tcW w:w="7537" w:type="dxa"/>
            <w:tcBorders>
              <w:top w:val="single" w:sz="4" w:space="0" w:color="000000"/>
              <w:right w:val="single" w:sz="4" w:space="0" w:color="000000"/>
            </w:tcBorders>
          </w:tcPr>
          <w:p>
            <w:pPr>
              <w:pStyle w:val="TableParagraph"/>
              <w:numPr>
                <w:ilvl w:val="0"/>
                <w:numId w:val="6"/>
              </w:numPr>
              <w:tabs>
                <w:tab w:pos="359" w:val="left" w:leader="none"/>
                <w:tab w:pos="1338" w:val="left" w:leader="none"/>
              </w:tabs>
              <w:spacing w:line="223" w:lineRule="exact" w:before="7" w:after="0"/>
              <w:ind w:left="1337" w:right="99" w:hanging="360"/>
              <w:jc w:val="right"/>
              <w:rPr>
                <w:sz w:val="20"/>
              </w:rPr>
            </w:pPr>
            <w:r>
              <w:rPr>
                <w:sz w:val="20"/>
              </w:rPr>
              <w:t>Procure</w:t>
            </w:r>
            <w:r>
              <w:rPr>
                <w:spacing w:val="7"/>
                <w:sz w:val="20"/>
              </w:rPr>
              <w:t> </w:t>
            </w:r>
            <w:r>
              <w:rPr>
                <w:sz w:val="20"/>
              </w:rPr>
              <w:t>luminaires,</w:t>
            </w:r>
            <w:r>
              <w:rPr>
                <w:spacing w:val="11"/>
                <w:sz w:val="20"/>
              </w:rPr>
              <w:t> </w:t>
            </w:r>
            <w:r>
              <w:rPr>
                <w:sz w:val="20"/>
              </w:rPr>
              <w:t>lamps</w:t>
            </w:r>
            <w:r>
              <w:rPr>
                <w:spacing w:val="7"/>
                <w:sz w:val="20"/>
              </w:rPr>
              <w:t> </w:t>
            </w:r>
            <w:r>
              <w:rPr>
                <w:sz w:val="20"/>
              </w:rPr>
              <w:t>or</w:t>
            </w:r>
            <w:r>
              <w:rPr>
                <w:spacing w:val="11"/>
                <w:sz w:val="20"/>
              </w:rPr>
              <w:t> </w:t>
            </w:r>
            <w:r>
              <w:rPr>
                <w:sz w:val="20"/>
              </w:rPr>
              <w:t>light</w:t>
            </w:r>
            <w:r>
              <w:rPr>
                <w:spacing w:val="10"/>
                <w:sz w:val="20"/>
              </w:rPr>
              <w:t> </w:t>
            </w:r>
            <w:r>
              <w:rPr>
                <w:sz w:val="20"/>
              </w:rPr>
              <w:t>sources</w:t>
            </w:r>
            <w:r>
              <w:rPr>
                <w:spacing w:val="10"/>
                <w:sz w:val="20"/>
              </w:rPr>
              <w:t> </w:t>
            </w:r>
            <w:r>
              <w:rPr>
                <w:sz w:val="20"/>
              </w:rPr>
              <w:t>that</w:t>
            </w:r>
            <w:r>
              <w:rPr>
                <w:spacing w:val="10"/>
                <w:sz w:val="20"/>
              </w:rPr>
              <w:t> </w:t>
            </w:r>
            <w:r>
              <w:rPr>
                <w:sz w:val="20"/>
              </w:rPr>
              <w:t>exceed</w:t>
            </w:r>
            <w:r>
              <w:rPr>
                <w:spacing w:val="10"/>
                <w:sz w:val="20"/>
              </w:rPr>
              <w:t> </w:t>
            </w:r>
            <w:r>
              <w:rPr>
                <w:sz w:val="20"/>
              </w:rPr>
              <w:t>minimum</w:t>
            </w:r>
            <w:r>
              <w:rPr>
                <w:spacing w:val="9"/>
                <w:sz w:val="20"/>
              </w:rPr>
              <w:t> </w:t>
            </w:r>
            <w:r>
              <w:rPr>
                <w:sz w:val="20"/>
              </w:rPr>
              <w:t>luminaire</w:t>
            </w:r>
          </w:p>
        </w:tc>
      </w:tr>
      <w:tr>
        <w:trPr>
          <w:trHeight w:val="229" w:hRule="atLeast"/>
        </w:trPr>
        <w:tc>
          <w:tcPr>
            <w:tcW w:w="6640" w:type="dxa"/>
            <w:tcBorders>
              <w:left w:val="single" w:sz="4" w:space="0" w:color="000000"/>
            </w:tcBorders>
          </w:tcPr>
          <w:p>
            <w:pPr>
              <w:pStyle w:val="TableParagraph"/>
              <w:spacing w:line="210" w:lineRule="exact"/>
              <w:ind w:left="827"/>
              <w:rPr>
                <w:sz w:val="20"/>
              </w:rPr>
            </w:pPr>
            <w:r>
              <w:rPr>
                <w:sz w:val="20"/>
              </w:rPr>
              <w:t>electricity consumption in the use of road lighting.</w:t>
            </w:r>
          </w:p>
        </w:tc>
        <w:tc>
          <w:tcPr>
            <w:tcW w:w="7537" w:type="dxa"/>
            <w:tcBorders>
              <w:right w:val="single" w:sz="4" w:space="0" w:color="000000"/>
            </w:tcBorders>
          </w:tcPr>
          <w:p>
            <w:pPr>
              <w:pStyle w:val="TableParagraph"/>
              <w:spacing w:line="210" w:lineRule="exact"/>
              <w:ind w:left="1337"/>
              <w:rPr>
                <w:sz w:val="20"/>
              </w:rPr>
            </w:pPr>
            <w:r>
              <w:rPr>
                <w:sz w:val="20"/>
              </w:rPr>
              <w:t>efficacies.</w:t>
            </w:r>
          </w:p>
        </w:tc>
      </w:tr>
      <w:tr>
        <w:trPr>
          <w:trHeight w:val="239" w:hRule="atLeast"/>
        </w:trPr>
        <w:tc>
          <w:tcPr>
            <w:tcW w:w="6640" w:type="dxa"/>
            <w:tcBorders>
              <w:left w:val="single" w:sz="4" w:space="0" w:color="000000"/>
            </w:tcBorders>
          </w:tcPr>
          <w:p>
            <w:pPr>
              <w:pStyle w:val="TableParagraph"/>
              <w:numPr>
                <w:ilvl w:val="0"/>
                <w:numId w:val="7"/>
              </w:numPr>
              <w:tabs>
                <w:tab w:pos="359" w:val="left" w:leader="none"/>
                <w:tab w:pos="828" w:val="left" w:leader="none"/>
              </w:tabs>
              <w:spacing w:line="217" w:lineRule="exact" w:before="3" w:after="0"/>
              <w:ind w:left="827" w:right="966" w:hanging="360"/>
              <w:jc w:val="right"/>
              <w:rPr>
                <w:sz w:val="20"/>
              </w:rPr>
            </w:pPr>
            <w:r>
              <w:rPr>
                <w:sz w:val="20"/>
              </w:rPr>
              <w:t>Emission</w:t>
            </w:r>
            <w:r>
              <w:rPr>
                <w:spacing w:val="24"/>
                <w:sz w:val="20"/>
              </w:rPr>
              <w:t> </w:t>
            </w:r>
            <w:r>
              <w:rPr>
                <w:sz w:val="20"/>
              </w:rPr>
              <w:t>of</w:t>
            </w:r>
            <w:r>
              <w:rPr>
                <w:spacing w:val="23"/>
                <w:sz w:val="20"/>
              </w:rPr>
              <w:t> </w:t>
            </w:r>
            <w:r>
              <w:rPr>
                <w:sz w:val="20"/>
              </w:rPr>
              <w:t>acidifying</w:t>
            </w:r>
            <w:r>
              <w:rPr>
                <w:spacing w:val="27"/>
                <w:sz w:val="20"/>
              </w:rPr>
              <w:t> </w:t>
            </w:r>
            <w:r>
              <w:rPr>
                <w:sz w:val="20"/>
              </w:rPr>
              <w:t>gases</w:t>
            </w:r>
            <w:r>
              <w:rPr>
                <w:spacing w:val="24"/>
                <w:sz w:val="20"/>
              </w:rPr>
              <w:t> </w:t>
            </w:r>
            <w:r>
              <w:rPr>
                <w:sz w:val="20"/>
              </w:rPr>
              <w:t>as</w:t>
            </w:r>
            <w:r>
              <w:rPr>
                <w:spacing w:val="24"/>
                <w:sz w:val="20"/>
              </w:rPr>
              <w:t> </w:t>
            </w:r>
            <w:r>
              <w:rPr>
                <w:sz w:val="20"/>
              </w:rPr>
              <w:t>a</w:t>
            </w:r>
            <w:r>
              <w:rPr>
                <w:spacing w:val="26"/>
                <w:sz w:val="20"/>
              </w:rPr>
              <w:t> </w:t>
            </w:r>
            <w:r>
              <w:rPr>
                <w:sz w:val="20"/>
              </w:rPr>
              <w:t>result</w:t>
            </w:r>
            <w:r>
              <w:rPr>
                <w:spacing w:val="25"/>
                <w:sz w:val="20"/>
              </w:rPr>
              <w:t> </w:t>
            </w:r>
            <w:r>
              <w:rPr>
                <w:sz w:val="20"/>
              </w:rPr>
              <w:t>of</w:t>
            </w:r>
            <w:r>
              <w:rPr>
                <w:spacing w:val="23"/>
                <w:sz w:val="20"/>
              </w:rPr>
              <w:t> </w:t>
            </w:r>
            <w:r>
              <w:rPr>
                <w:sz w:val="20"/>
              </w:rPr>
              <w:t>electricity</w:t>
            </w:r>
          </w:p>
        </w:tc>
        <w:tc>
          <w:tcPr>
            <w:tcW w:w="7537" w:type="dxa"/>
            <w:tcBorders>
              <w:right w:val="single" w:sz="4" w:space="0" w:color="000000"/>
            </w:tcBorders>
          </w:tcPr>
          <w:p>
            <w:pPr>
              <w:pStyle w:val="TableParagraph"/>
              <w:numPr>
                <w:ilvl w:val="0"/>
                <w:numId w:val="8"/>
              </w:numPr>
              <w:tabs>
                <w:tab w:pos="359" w:val="left" w:leader="none"/>
                <w:tab w:pos="1338" w:val="left" w:leader="none"/>
              </w:tabs>
              <w:spacing w:line="217" w:lineRule="exact" w:before="3" w:after="0"/>
              <w:ind w:left="1337" w:right="95" w:hanging="360"/>
              <w:jc w:val="right"/>
              <w:rPr>
                <w:sz w:val="20"/>
              </w:rPr>
            </w:pPr>
            <w:r>
              <w:rPr>
                <w:sz w:val="20"/>
              </w:rPr>
              <w:t>Encourage</w:t>
            </w:r>
            <w:r>
              <w:rPr>
                <w:spacing w:val="28"/>
                <w:sz w:val="20"/>
              </w:rPr>
              <w:t> </w:t>
            </w:r>
            <w:r>
              <w:rPr>
                <w:sz w:val="20"/>
              </w:rPr>
              <w:t>the</w:t>
            </w:r>
            <w:r>
              <w:rPr>
                <w:spacing w:val="32"/>
                <w:sz w:val="20"/>
              </w:rPr>
              <w:t> </w:t>
            </w:r>
            <w:r>
              <w:rPr>
                <w:sz w:val="20"/>
              </w:rPr>
              <w:t>use</w:t>
            </w:r>
            <w:r>
              <w:rPr>
                <w:spacing w:val="29"/>
                <w:sz w:val="20"/>
              </w:rPr>
              <w:t> </w:t>
            </w:r>
            <w:r>
              <w:rPr>
                <w:sz w:val="20"/>
              </w:rPr>
              <w:t>of</w:t>
            </w:r>
            <w:r>
              <w:rPr>
                <w:spacing w:val="27"/>
                <w:sz w:val="20"/>
              </w:rPr>
              <w:t> </w:t>
            </w:r>
            <w:r>
              <w:rPr>
                <w:sz w:val="20"/>
              </w:rPr>
              <w:t>dimming</w:t>
            </w:r>
            <w:r>
              <w:rPr>
                <w:spacing w:val="26"/>
                <w:sz w:val="20"/>
              </w:rPr>
              <w:t> </w:t>
            </w:r>
            <w:r>
              <w:rPr>
                <w:sz w:val="20"/>
              </w:rPr>
              <w:t>and</w:t>
            </w:r>
            <w:r>
              <w:rPr>
                <w:spacing w:val="32"/>
                <w:sz w:val="20"/>
              </w:rPr>
              <w:t> </w:t>
            </w:r>
            <w:r>
              <w:rPr>
                <w:sz w:val="20"/>
              </w:rPr>
              <w:t>metering</w:t>
            </w:r>
            <w:r>
              <w:rPr>
                <w:spacing w:val="27"/>
                <w:sz w:val="20"/>
              </w:rPr>
              <w:t> </w:t>
            </w:r>
            <w:r>
              <w:rPr>
                <w:sz w:val="20"/>
              </w:rPr>
              <w:t>to</w:t>
            </w:r>
            <w:r>
              <w:rPr>
                <w:spacing w:val="29"/>
                <w:sz w:val="20"/>
              </w:rPr>
              <w:t> </w:t>
            </w:r>
            <w:r>
              <w:rPr>
                <w:sz w:val="20"/>
              </w:rPr>
              <w:t>ensure</w:t>
            </w:r>
            <w:r>
              <w:rPr>
                <w:spacing w:val="29"/>
                <w:sz w:val="20"/>
              </w:rPr>
              <w:t> </w:t>
            </w:r>
            <w:r>
              <w:rPr>
                <w:sz w:val="20"/>
              </w:rPr>
              <w:t>that</w:t>
            </w:r>
            <w:r>
              <w:rPr>
                <w:spacing w:val="28"/>
                <w:sz w:val="20"/>
              </w:rPr>
              <w:t> </w:t>
            </w:r>
            <w:r>
              <w:rPr>
                <w:sz w:val="20"/>
              </w:rPr>
              <w:t>energy</w:t>
            </w:r>
          </w:p>
        </w:tc>
      </w:tr>
      <w:tr>
        <w:trPr>
          <w:trHeight w:val="225" w:hRule="atLeast"/>
        </w:trPr>
        <w:tc>
          <w:tcPr>
            <w:tcW w:w="6640" w:type="dxa"/>
            <w:tcBorders>
              <w:left w:val="single" w:sz="4" w:space="0" w:color="000000"/>
            </w:tcBorders>
          </w:tcPr>
          <w:p>
            <w:pPr>
              <w:pStyle w:val="TableParagraph"/>
              <w:spacing w:line="206" w:lineRule="exact"/>
              <w:ind w:left="827"/>
              <w:rPr>
                <w:sz w:val="20"/>
              </w:rPr>
            </w:pPr>
            <w:r>
              <w:rPr>
                <w:sz w:val="20"/>
              </w:rPr>
              <w:t>consumption in the use of road lighting.</w:t>
            </w:r>
          </w:p>
        </w:tc>
        <w:tc>
          <w:tcPr>
            <w:tcW w:w="7537" w:type="dxa"/>
            <w:tcBorders>
              <w:right w:val="single" w:sz="4" w:space="0" w:color="000000"/>
            </w:tcBorders>
          </w:tcPr>
          <w:p>
            <w:pPr>
              <w:pStyle w:val="TableParagraph"/>
              <w:spacing w:line="206" w:lineRule="exact"/>
              <w:ind w:left="0" w:right="96"/>
              <w:jc w:val="right"/>
              <w:rPr>
                <w:sz w:val="20"/>
              </w:rPr>
            </w:pPr>
            <w:r>
              <w:rPr>
                <w:sz w:val="20"/>
              </w:rPr>
              <w:t>consumption of a particular lighting installation can be optimised and</w:t>
            </w:r>
          </w:p>
        </w:tc>
      </w:tr>
      <w:tr>
        <w:trPr>
          <w:trHeight w:val="248" w:hRule="atLeast"/>
        </w:trPr>
        <w:tc>
          <w:tcPr>
            <w:tcW w:w="6640" w:type="dxa"/>
            <w:tcBorders>
              <w:left w:val="single" w:sz="4" w:space="0" w:color="000000"/>
            </w:tcBorders>
          </w:tcPr>
          <w:p>
            <w:pPr>
              <w:pStyle w:val="TableParagraph"/>
              <w:numPr>
                <w:ilvl w:val="0"/>
                <w:numId w:val="9"/>
              </w:numPr>
              <w:tabs>
                <w:tab w:pos="359" w:val="left" w:leader="none"/>
                <w:tab w:pos="828" w:val="left" w:leader="none"/>
              </w:tabs>
              <w:spacing w:line="218" w:lineRule="exact" w:before="10" w:after="0"/>
              <w:ind w:left="827" w:right="966" w:hanging="360"/>
              <w:jc w:val="right"/>
              <w:rPr>
                <w:sz w:val="20"/>
              </w:rPr>
            </w:pPr>
            <w:r>
              <w:rPr>
                <w:sz w:val="20"/>
              </w:rPr>
              <w:t>Loss of star visibility caused by upward light output</w:t>
            </w:r>
            <w:r>
              <w:rPr>
                <w:spacing w:val="5"/>
                <w:sz w:val="20"/>
              </w:rPr>
              <w:t> </w:t>
            </w:r>
            <w:r>
              <w:rPr>
                <w:sz w:val="20"/>
              </w:rPr>
              <w:t>from</w:t>
            </w:r>
          </w:p>
        </w:tc>
        <w:tc>
          <w:tcPr>
            <w:tcW w:w="7537" w:type="dxa"/>
            <w:tcBorders>
              <w:right w:val="single" w:sz="4" w:space="0" w:color="000000"/>
            </w:tcBorders>
          </w:tcPr>
          <w:p>
            <w:pPr>
              <w:pStyle w:val="TableParagraph"/>
              <w:spacing w:line="226" w:lineRule="exact"/>
              <w:ind w:left="1337"/>
              <w:rPr>
                <w:sz w:val="20"/>
              </w:rPr>
            </w:pPr>
            <w:r>
              <w:rPr>
                <w:sz w:val="20"/>
              </w:rPr>
              <w:t>monitored in real time.</w:t>
            </w:r>
          </w:p>
        </w:tc>
      </w:tr>
      <w:tr>
        <w:trPr>
          <w:trHeight w:val="230" w:hRule="atLeast"/>
        </w:trPr>
        <w:tc>
          <w:tcPr>
            <w:tcW w:w="6640" w:type="dxa"/>
            <w:tcBorders>
              <w:left w:val="single" w:sz="4" w:space="0" w:color="000000"/>
            </w:tcBorders>
          </w:tcPr>
          <w:p>
            <w:pPr>
              <w:pStyle w:val="TableParagraph"/>
              <w:spacing w:line="210" w:lineRule="exact"/>
              <w:ind w:left="827"/>
              <w:rPr>
                <w:sz w:val="20"/>
              </w:rPr>
            </w:pPr>
            <w:r>
              <w:rPr>
                <w:sz w:val="20"/>
              </w:rPr>
              <w:t>unshielded luminaires and reflection from the ground.</w:t>
            </w:r>
          </w:p>
        </w:tc>
        <w:tc>
          <w:tcPr>
            <w:tcW w:w="7537" w:type="dxa"/>
            <w:tcBorders>
              <w:right w:val="single" w:sz="4" w:space="0" w:color="000000"/>
            </w:tcBorders>
          </w:tcPr>
          <w:p>
            <w:pPr>
              <w:pStyle w:val="TableParagraph"/>
              <w:numPr>
                <w:ilvl w:val="0"/>
                <w:numId w:val="10"/>
              </w:numPr>
              <w:tabs>
                <w:tab w:pos="359" w:val="left" w:leader="none"/>
                <w:tab w:pos="1338" w:val="left" w:leader="none"/>
              </w:tabs>
              <w:spacing w:line="210" w:lineRule="exact" w:before="0" w:after="0"/>
              <w:ind w:left="1337" w:right="96" w:hanging="360"/>
              <w:jc w:val="right"/>
              <w:rPr>
                <w:sz w:val="20"/>
              </w:rPr>
            </w:pPr>
            <w:r>
              <w:rPr>
                <w:sz w:val="20"/>
              </w:rPr>
              <w:t>Require</w:t>
            </w:r>
            <w:r>
              <w:rPr>
                <w:spacing w:val="37"/>
                <w:sz w:val="20"/>
              </w:rPr>
              <w:t> </w:t>
            </w:r>
            <w:r>
              <w:rPr>
                <w:sz w:val="20"/>
              </w:rPr>
              <w:t>that</w:t>
            </w:r>
            <w:r>
              <w:rPr>
                <w:spacing w:val="37"/>
                <w:sz w:val="20"/>
              </w:rPr>
              <w:t> </w:t>
            </w:r>
            <w:r>
              <w:rPr>
                <w:sz w:val="20"/>
              </w:rPr>
              <w:t>all</w:t>
            </w:r>
            <w:r>
              <w:rPr>
                <w:spacing w:val="37"/>
                <w:sz w:val="20"/>
              </w:rPr>
              <w:t> </w:t>
            </w:r>
            <w:r>
              <w:rPr>
                <w:sz w:val="20"/>
              </w:rPr>
              <w:t>luminaires</w:t>
            </w:r>
            <w:r>
              <w:rPr>
                <w:spacing w:val="39"/>
                <w:sz w:val="20"/>
              </w:rPr>
              <w:t> </w:t>
            </w:r>
            <w:r>
              <w:rPr>
                <w:sz w:val="20"/>
              </w:rPr>
              <w:t>have</w:t>
            </w:r>
            <w:r>
              <w:rPr>
                <w:spacing w:val="37"/>
                <w:sz w:val="20"/>
              </w:rPr>
              <w:t> </w:t>
            </w:r>
            <w:r>
              <w:rPr>
                <w:sz w:val="20"/>
              </w:rPr>
              <w:t>0.0%</w:t>
            </w:r>
            <w:r>
              <w:rPr>
                <w:spacing w:val="36"/>
                <w:sz w:val="20"/>
              </w:rPr>
              <w:t> </w:t>
            </w:r>
            <w:r>
              <w:rPr>
                <w:sz w:val="20"/>
              </w:rPr>
              <w:t>upward</w:t>
            </w:r>
            <w:r>
              <w:rPr>
                <w:spacing w:val="38"/>
                <w:sz w:val="20"/>
              </w:rPr>
              <w:t> </w:t>
            </w:r>
            <w:r>
              <w:rPr>
                <w:sz w:val="20"/>
              </w:rPr>
              <w:t>light</w:t>
            </w:r>
            <w:r>
              <w:rPr>
                <w:spacing w:val="37"/>
                <w:sz w:val="20"/>
              </w:rPr>
              <w:t> </w:t>
            </w:r>
            <w:r>
              <w:rPr>
                <w:sz w:val="20"/>
              </w:rPr>
              <w:t>output</w:t>
            </w:r>
            <w:r>
              <w:rPr>
                <w:spacing w:val="37"/>
                <w:sz w:val="20"/>
              </w:rPr>
              <w:t> </w:t>
            </w:r>
            <w:r>
              <w:rPr>
                <w:sz w:val="20"/>
              </w:rPr>
              <w:t>ratio</w:t>
            </w:r>
            <w:r>
              <w:rPr>
                <w:spacing w:val="38"/>
                <w:sz w:val="20"/>
              </w:rPr>
              <w:t> </w:t>
            </w:r>
            <w:r>
              <w:rPr>
                <w:sz w:val="20"/>
              </w:rPr>
              <w:t>and,</w:t>
            </w:r>
            <w:r>
              <w:rPr>
                <w:spacing w:val="37"/>
                <w:sz w:val="20"/>
              </w:rPr>
              <w:t> </w:t>
            </w:r>
            <w:r>
              <w:rPr>
                <w:sz w:val="20"/>
              </w:rPr>
              <w:t>at</w:t>
            </w:r>
          </w:p>
        </w:tc>
      </w:tr>
      <w:tr>
        <w:trPr>
          <w:trHeight w:val="237" w:hRule="atLeast"/>
        </w:trPr>
        <w:tc>
          <w:tcPr>
            <w:tcW w:w="6640" w:type="dxa"/>
            <w:tcBorders>
              <w:left w:val="single" w:sz="4" w:space="0" w:color="000000"/>
            </w:tcBorders>
          </w:tcPr>
          <w:p>
            <w:pPr>
              <w:pStyle w:val="TableParagraph"/>
              <w:numPr>
                <w:ilvl w:val="0"/>
                <w:numId w:val="11"/>
              </w:numPr>
              <w:tabs>
                <w:tab w:pos="359" w:val="left" w:leader="none"/>
                <w:tab w:pos="828" w:val="left" w:leader="none"/>
              </w:tabs>
              <w:spacing w:line="211" w:lineRule="exact" w:before="7" w:after="0"/>
              <w:ind w:left="827" w:right="971" w:hanging="360"/>
              <w:jc w:val="right"/>
              <w:rPr>
                <w:sz w:val="20"/>
              </w:rPr>
            </w:pPr>
            <w:r>
              <w:rPr>
                <w:sz w:val="20"/>
              </w:rPr>
              <w:t>Disruption of nocturnal species’ behaviour with</w:t>
            </w:r>
            <w:r>
              <w:rPr>
                <w:spacing w:val="-23"/>
                <w:sz w:val="20"/>
              </w:rPr>
              <w:t> </w:t>
            </w:r>
            <w:r>
              <w:rPr>
                <w:sz w:val="20"/>
              </w:rPr>
              <w:t>potential</w:t>
            </w:r>
          </w:p>
        </w:tc>
        <w:tc>
          <w:tcPr>
            <w:tcW w:w="7537" w:type="dxa"/>
            <w:tcBorders>
              <w:right w:val="single" w:sz="4" w:space="0" w:color="000000"/>
            </w:tcBorders>
          </w:tcPr>
          <w:p>
            <w:pPr>
              <w:pStyle w:val="TableParagraph"/>
              <w:spacing w:line="218" w:lineRule="exact"/>
              <w:ind w:left="0" w:right="100"/>
              <w:jc w:val="right"/>
              <w:rPr>
                <w:sz w:val="20"/>
              </w:rPr>
            </w:pPr>
            <w:r>
              <w:rPr>
                <w:sz w:val="20"/>
              </w:rPr>
              <w:t>comprehensive level, to ensure that 97% of all light falls within a</w:t>
            </w:r>
          </w:p>
        </w:tc>
      </w:tr>
      <w:tr>
        <w:trPr>
          <w:trHeight w:val="225" w:hRule="atLeast"/>
        </w:trPr>
        <w:tc>
          <w:tcPr>
            <w:tcW w:w="6640" w:type="dxa"/>
            <w:tcBorders>
              <w:left w:val="single" w:sz="4" w:space="0" w:color="000000"/>
            </w:tcBorders>
          </w:tcPr>
          <w:p>
            <w:pPr>
              <w:pStyle w:val="TableParagraph"/>
              <w:spacing w:line="206" w:lineRule="exact"/>
              <w:ind w:left="827"/>
              <w:rPr>
                <w:sz w:val="20"/>
              </w:rPr>
            </w:pPr>
            <w:r>
              <w:rPr>
                <w:sz w:val="20"/>
              </w:rPr>
              <w:t>adverse effects on biodiversity, especially with blue light.</w:t>
            </w:r>
          </w:p>
        </w:tc>
        <w:tc>
          <w:tcPr>
            <w:tcW w:w="7537" w:type="dxa"/>
            <w:tcBorders>
              <w:right w:val="single" w:sz="4" w:space="0" w:color="000000"/>
            </w:tcBorders>
          </w:tcPr>
          <w:p>
            <w:pPr>
              <w:pStyle w:val="TableParagraph"/>
              <w:spacing w:line="206" w:lineRule="exact"/>
              <w:ind w:left="0" w:right="98"/>
              <w:jc w:val="right"/>
              <w:rPr>
                <w:sz w:val="20"/>
              </w:rPr>
            </w:pPr>
            <w:r>
              <w:rPr>
                <w:sz w:val="20"/>
              </w:rPr>
              <w:t>downward angle of 75.5° to the vertical for the reduction of obtrusive light</w:t>
            </w:r>
          </w:p>
        </w:tc>
      </w:tr>
      <w:tr>
        <w:trPr>
          <w:trHeight w:val="246" w:hRule="atLeast"/>
        </w:trPr>
        <w:tc>
          <w:tcPr>
            <w:tcW w:w="6640" w:type="dxa"/>
            <w:tcBorders>
              <w:left w:val="single" w:sz="4" w:space="0" w:color="000000"/>
            </w:tcBorders>
          </w:tcPr>
          <w:p>
            <w:pPr>
              <w:pStyle w:val="TableParagraph"/>
              <w:numPr>
                <w:ilvl w:val="0"/>
                <w:numId w:val="12"/>
              </w:numPr>
              <w:tabs>
                <w:tab w:pos="359" w:val="left" w:leader="none"/>
                <w:tab w:pos="828" w:val="left" w:leader="none"/>
              </w:tabs>
              <w:spacing w:line="211" w:lineRule="exact" w:before="16" w:after="0"/>
              <w:ind w:left="827" w:right="969" w:hanging="360"/>
              <w:jc w:val="right"/>
              <w:rPr>
                <w:sz w:val="20"/>
              </w:rPr>
            </w:pPr>
            <w:r>
              <w:rPr>
                <w:sz w:val="20"/>
              </w:rPr>
              <w:t>Poor resource efficiency in cases where products</w:t>
            </w:r>
            <w:r>
              <w:rPr>
                <w:spacing w:val="36"/>
                <w:sz w:val="20"/>
              </w:rPr>
              <w:t> </w:t>
            </w:r>
            <w:r>
              <w:rPr>
                <w:sz w:val="20"/>
              </w:rPr>
              <w:t>or</w:t>
            </w:r>
          </w:p>
        </w:tc>
        <w:tc>
          <w:tcPr>
            <w:tcW w:w="7537" w:type="dxa"/>
            <w:tcBorders>
              <w:right w:val="single" w:sz="4" w:space="0" w:color="000000"/>
            </w:tcBorders>
          </w:tcPr>
          <w:p>
            <w:pPr>
              <w:pStyle w:val="TableParagraph"/>
              <w:spacing w:line="217" w:lineRule="exact"/>
              <w:ind w:left="1337"/>
              <w:rPr>
                <w:sz w:val="20"/>
              </w:rPr>
            </w:pPr>
            <w:r>
              <w:rPr>
                <w:sz w:val="20"/>
              </w:rPr>
              <w:t>and glare.</w:t>
            </w:r>
          </w:p>
        </w:tc>
      </w:tr>
      <w:tr>
        <w:trPr>
          <w:trHeight w:val="227" w:hRule="atLeast"/>
        </w:trPr>
        <w:tc>
          <w:tcPr>
            <w:tcW w:w="6640" w:type="dxa"/>
            <w:tcBorders>
              <w:left w:val="single" w:sz="4" w:space="0" w:color="000000"/>
            </w:tcBorders>
          </w:tcPr>
          <w:p>
            <w:pPr>
              <w:pStyle w:val="TableParagraph"/>
              <w:spacing w:line="207" w:lineRule="exact"/>
              <w:ind w:left="0" w:right="968"/>
              <w:jc w:val="right"/>
              <w:rPr>
                <w:sz w:val="20"/>
              </w:rPr>
            </w:pPr>
            <w:r>
              <w:rPr>
                <w:sz w:val="20"/>
              </w:rPr>
              <w:t>components need to be replaced before the end of their</w:t>
            </w:r>
          </w:p>
        </w:tc>
        <w:tc>
          <w:tcPr>
            <w:tcW w:w="7537" w:type="dxa"/>
            <w:tcBorders>
              <w:right w:val="single" w:sz="4" w:space="0" w:color="000000"/>
            </w:tcBorders>
          </w:tcPr>
          <w:p>
            <w:pPr>
              <w:pStyle w:val="TableParagraph"/>
              <w:numPr>
                <w:ilvl w:val="0"/>
                <w:numId w:val="13"/>
              </w:numPr>
              <w:tabs>
                <w:tab w:pos="359" w:val="left" w:leader="none"/>
                <w:tab w:pos="1338" w:val="left" w:leader="none"/>
              </w:tabs>
              <w:spacing w:line="207" w:lineRule="exact" w:before="0" w:after="0"/>
              <w:ind w:left="1337" w:right="98" w:hanging="360"/>
              <w:jc w:val="right"/>
              <w:rPr>
                <w:sz w:val="20"/>
              </w:rPr>
            </w:pPr>
            <w:r>
              <w:rPr>
                <w:sz w:val="20"/>
              </w:rPr>
              <w:t>Encourage</w:t>
            </w:r>
            <w:r>
              <w:rPr>
                <w:spacing w:val="12"/>
                <w:sz w:val="20"/>
              </w:rPr>
              <w:t> </w:t>
            </w:r>
            <w:r>
              <w:rPr>
                <w:sz w:val="20"/>
              </w:rPr>
              <w:t>obligatory</w:t>
            </w:r>
            <w:r>
              <w:rPr>
                <w:spacing w:val="8"/>
                <w:sz w:val="20"/>
              </w:rPr>
              <w:t> </w:t>
            </w:r>
            <w:r>
              <w:rPr>
                <w:sz w:val="20"/>
              </w:rPr>
              <w:t>dimming</w:t>
            </w:r>
            <w:r>
              <w:rPr>
                <w:spacing w:val="10"/>
                <w:sz w:val="20"/>
              </w:rPr>
              <w:t> </w:t>
            </w:r>
            <w:r>
              <w:rPr>
                <w:sz w:val="20"/>
              </w:rPr>
              <w:t>in</w:t>
            </w:r>
            <w:r>
              <w:rPr>
                <w:spacing w:val="10"/>
                <w:sz w:val="20"/>
              </w:rPr>
              <w:t> </w:t>
            </w:r>
            <w:r>
              <w:rPr>
                <w:sz w:val="20"/>
              </w:rPr>
              <w:t>areas</w:t>
            </w:r>
            <w:r>
              <w:rPr>
                <w:spacing w:val="11"/>
                <w:sz w:val="20"/>
              </w:rPr>
              <w:t> </w:t>
            </w:r>
            <w:r>
              <w:rPr>
                <w:sz w:val="20"/>
              </w:rPr>
              <w:t>of</w:t>
            </w:r>
            <w:r>
              <w:rPr>
                <w:spacing w:val="10"/>
                <w:sz w:val="20"/>
              </w:rPr>
              <w:t> </w:t>
            </w:r>
            <w:r>
              <w:rPr>
                <w:sz w:val="20"/>
              </w:rPr>
              <w:t>concern</w:t>
            </w:r>
            <w:r>
              <w:rPr>
                <w:spacing w:val="11"/>
                <w:sz w:val="20"/>
              </w:rPr>
              <w:t> </w:t>
            </w:r>
            <w:r>
              <w:rPr>
                <w:sz w:val="20"/>
              </w:rPr>
              <w:t>and</w:t>
            </w:r>
            <w:r>
              <w:rPr>
                <w:spacing w:val="12"/>
                <w:sz w:val="20"/>
              </w:rPr>
              <w:t> </w:t>
            </w:r>
            <w:r>
              <w:rPr>
                <w:sz w:val="20"/>
              </w:rPr>
              <w:t>to</w:t>
            </w:r>
            <w:r>
              <w:rPr>
                <w:spacing w:val="12"/>
                <w:sz w:val="20"/>
              </w:rPr>
              <w:t> </w:t>
            </w:r>
            <w:r>
              <w:rPr>
                <w:sz w:val="20"/>
              </w:rPr>
              <w:t>set</w:t>
            </w:r>
            <w:r>
              <w:rPr>
                <w:spacing w:val="12"/>
                <w:sz w:val="20"/>
              </w:rPr>
              <w:t> </w:t>
            </w:r>
            <w:r>
              <w:rPr>
                <w:sz w:val="20"/>
              </w:rPr>
              <w:t>limits</w:t>
            </w:r>
            <w:r>
              <w:rPr>
                <w:spacing w:val="11"/>
                <w:sz w:val="20"/>
              </w:rPr>
              <w:t> </w:t>
            </w:r>
            <w:r>
              <w:rPr>
                <w:sz w:val="20"/>
              </w:rPr>
              <w:t>on</w:t>
            </w:r>
            <w:r>
              <w:rPr>
                <w:spacing w:val="10"/>
                <w:sz w:val="20"/>
              </w:rPr>
              <w:t> </w:t>
            </w:r>
            <w:r>
              <w:rPr>
                <w:sz w:val="20"/>
              </w:rPr>
              <w:t>the</w:t>
            </w:r>
          </w:p>
        </w:tc>
      </w:tr>
      <w:tr>
        <w:trPr>
          <w:trHeight w:val="237" w:hRule="atLeast"/>
        </w:trPr>
        <w:tc>
          <w:tcPr>
            <w:tcW w:w="6640" w:type="dxa"/>
            <w:tcBorders>
              <w:left w:val="single" w:sz="4" w:space="0" w:color="000000"/>
            </w:tcBorders>
          </w:tcPr>
          <w:p>
            <w:pPr>
              <w:pStyle w:val="TableParagraph"/>
              <w:spacing w:line="215" w:lineRule="exact" w:before="3"/>
              <w:ind w:left="0" w:right="968"/>
              <w:jc w:val="right"/>
              <w:rPr>
                <w:sz w:val="20"/>
              </w:rPr>
            </w:pPr>
            <w:r>
              <w:rPr>
                <w:sz w:val="20"/>
              </w:rPr>
              <w:t>stated lifetime due to, for instance use of lower quality (and</w:t>
            </w:r>
          </w:p>
        </w:tc>
        <w:tc>
          <w:tcPr>
            <w:tcW w:w="7537" w:type="dxa"/>
            <w:tcBorders>
              <w:right w:val="single" w:sz="4" w:space="0" w:color="000000"/>
            </w:tcBorders>
          </w:tcPr>
          <w:p>
            <w:pPr>
              <w:pStyle w:val="TableParagraph"/>
              <w:spacing w:line="218" w:lineRule="exact"/>
              <w:ind w:left="1337"/>
              <w:rPr>
                <w:sz w:val="20"/>
              </w:rPr>
            </w:pPr>
            <w:r>
              <w:rPr>
                <w:sz w:val="20"/>
              </w:rPr>
              <w:t>proportion of blue light (G-index) in lamp/luminaire output.</w:t>
            </w:r>
          </w:p>
        </w:tc>
      </w:tr>
      <w:tr>
        <w:trPr>
          <w:trHeight w:val="233" w:hRule="atLeast"/>
        </w:trPr>
        <w:tc>
          <w:tcPr>
            <w:tcW w:w="6640" w:type="dxa"/>
            <w:tcBorders>
              <w:left w:val="single" w:sz="4" w:space="0" w:color="000000"/>
            </w:tcBorders>
          </w:tcPr>
          <w:p>
            <w:pPr>
              <w:pStyle w:val="TableParagraph"/>
              <w:spacing w:line="214" w:lineRule="exact"/>
              <w:ind w:left="0" w:right="967"/>
              <w:jc w:val="right"/>
              <w:rPr>
                <w:sz w:val="20"/>
              </w:rPr>
            </w:pPr>
            <w:r>
              <w:rPr>
                <w:sz w:val="20"/>
              </w:rPr>
              <w:t>cheaper) LED chips and difficulties with repair or to poor</w:t>
            </w:r>
          </w:p>
        </w:tc>
        <w:tc>
          <w:tcPr>
            <w:tcW w:w="7537" w:type="dxa"/>
            <w:tcBorders>
              <w:right w:val="single" w:sz="4" w:space="0" w:color="000000"/>
            </w:tcBorders>
          </w:tcPr>
          <w:p>
            <w:pPr>
              <w:pStyle w:val="TableParagraph"/>
              <w:numPr>
                <w:ilvl w:val="0"/>
                <w:numId w:val="14"/>
              </w:numPr>
              <w:tabs>
                <w:tab w:pos="359" w:val="left" w:leader="none"/>
                <w:tab w:pos="1338" w:val="left" w:leader="none"/>
              </w:tabs>
              <w:spacing w:line="214" w:lineRule="exact" w:before="0" w:after="0"/>
              <w:ind w:left="1337" w:right="96" w:hanging="360"/>
              <w:jc w:val="right"/>
              <w:rPr>
                <w:sz w:val="20"/>
              </w:rPr>
            </w:pPr>
            <w:r>
              <w:rPr>
                <w:sz w:val="20"/>
              </w:rPr>
              <w:t>Procure durable and fit-for-use road lighting equipment that is</w:t>
            </w:r>
            <w:r>
              <w:rPr>
                <w:spacing w:val="28"/>
                <w:sz w:val="20"/>
              </w:rPr>
              <w:t> </w:t>
            </w:r>
            <w:r>
              <w:rPr>
                <w:sz w:val="20"/>
              </w:rPr>
              <w:t>repairable</w:t>
            </w:r>
          </w:p>
        </w:tc>
      </w:tr>
      <w:tr>
        <w:trPr>
          <w:trHeight w:val="234" w:hRule="atLeast"/>
        </w:trPr>
        <w:tc>
          <w:tcPr>
            <w:tcW w:w="6640" w:type="dxa"/>
            <w:tcBorders>
              <w:left w:val="single" w:sz="4" w:space="0" w:color="000000"/>
            </w:tcBorders>
          </w:tcPr>
          <w:p>
            <w:pPr>
              <w:pStyle w:val="TableParagraph"/>
              <w:spacing w:line="214" w:lineRule="exact"/>
              <w:ind w:left="827"/>
              <w:rPr>
                <w:sz w:val="20"/>
              </w:rPr>
            </w:pPr>
            <w:r>
              <w:rPr>
                <w:sz w:val="20"/>
              </w:rPr>
              <w:t>installation</w:t>
            </w:r>
          </w:p>
        </w:tc>
        <w:tc>
          <w:tcPr>
            <w:tcW w:w="7537" w:type="dxa"/>
            <w:tcBorders>
              <w:right w:val="single" w:sz="4" w:space="0" w:color="000000"/>
            </w:tcBorders>
          </w:tcPr>
          <w:p>
            <w:pPr>
              <w:pStyle w:val="TableParagraph"/>
              <w:spacing w:line="214" w:lineRule="exact"/>
              <w:ind w:left="1337"/>
              <w:rPr>
                <w:sz w:val="20"/>
              </w:rPr>
            </w:pPr>
            <w:r>
              <w:rPr>
                <w:sz w:val="20"/>
              </w:rPr>
              <w:t>and covered by a warranty or extended warranty.</w:t>
            </w:r>
          </w:p>
        </w:tc>
      </w:tr>
      <w:tr>
        <w:trPr>
          <w:trHeight w:val="239" w:hRule="atLeast"/>
        </w:trPr>
        <w:tc>
          <w:tcPr>
            <w:tcW w:w="6640" w:type="dxa"/>
            <w:tcBorders>
              <w:left w:val="single" w:sz="4" w:space="0" w:color="000000"/>
            </w:tcBorders>
          </w:tcPr>
          <w:p>
            <w:pPr>
              <w:pStyle w:val="TableParagraph"/>
              <w:ind w:left="0"/>
              <w:rPr>
                <w:sz w:val="16"/>
              </w:rPr>
            </w:pPr>
          </w:p>
        </w:tc>
        <w:tc>
          <w:tcPr>
            <w:tcW w:w="7537" w:type="dxa"/>
            <w:tcBorders>
              <w:right w:val="single" w:sz="4" w:space="0" w:color="000000"/>
            </w:tcBorders>
          </w:tcPr>
          <w:p>
            <w:pPr>
              <w:pStyle w:val="TableParagraph"/>
              <w:numPr>
                <w:ilvl w:val="0"/>
                <w:numId w:val="15"/>
              </w:numPr>
              <w:tabs>
                <w:tab w:pos="359" w:val="left" w:leader="none"/>
                <w:tab w:pos="1338" w:val="left" w:leader="none"/>
              </w:tabs>
              <w:spacing w:line="217" w:lineRule="exact" w:before="3" w:after="0"/>
              <w:ind w:left="1337" w:right="99" w:hanging="360"/>
              <w:jc w:val="right"/>
              <w:rPr>
                <w:sz w:val="20"/>
              </w:rPr>
            </w:pPr>
            <w:r>
              <w:rPr>
                <w:sz w:val="20"/>
              </w:rPr>
              <w:t>Set minimum requirements for the person responsible for</w:t>
            </w:r>
            <w:r>
              <w:rPr>
                <w:spacing w:val="4"/>
                <w:sz w:val="20"/>
              </w:rPr>
              <w:t> </w:t>
            </w:r>
            <w:r>
              <w:rPr>
                <w:sz w:val="20"/>
              </w:rPr>
              <w:t>signing off the</w:t>
            </w:r>
          </w:p>
        </w:tc>
      </w:tr>
      <w:tr>
        <w:trPr>
          <w:trHeight w:val="228" w:hRule="atLeast"/>
        </w:trPr>
        <w:tc>
          <w:tcPr>
            <w:tcW w:w="6640" w:type="dxa"/>
            <w:tcBorders>
              <w:left w:val="single" w:sz="4" w:space="0" w:color="000000"/>
              <w:bottom w:val="single" w:sz="4" w:space="0" w:color="000000"/>
            </w:tcBorders>
          </w:tcPr>
          <w:p>
            <w:pPr>
              <w:pStyle w:val="TableParagraph"/>
              <w:ind w:left="0"/>
              <w:rPr>
                <w:sz w:val="16"/>
              </w:rPr>
            </w:pPr>
          </w:p>
        </w:tc>
        <w:tc>
          <w:tcPr>
            <w:tcW w:w="7537" w:type="dxa"/>
            <w:tcBorders>
              <w:bottom w:val="single" w:sz="4" w:space="0" w:color="000000"/>
              <w:right w:val="single" w:sz="4" w:space="0" w:color="000000"/>
            </w:tcBorders>
          </w:tcPr>
          <w:p>
            <w:pPr>
              <w:pStyle w:val="TableParagraph"/>
              <w:spacing w:line="208" w:lineRule="exact"/>
              <w:ind w:left="1337"/>
              <w:rPr>
                <w:sz w:val="20"/>
              </w:rPr>
            </w:pPr>
            <w:r>
              <w:rPr>
                <w:sz w:val="20"/>
              </w:rPr>
              <w:t>lighting installation.</w:t>
            </w:r>
          </w:p>
        </w:tc>
      </w:tr>
    </w:tbl>
    <w:p>
      <w:pPr>
        <w:spacing w:before="0"/>
        <w:ind w:left="4515" w:right="0" w:firstLine="0"/>
        <w:jc w:val="left"/>
        <w:rPr>
          <w:i/>
          <w:sz w:val="22"/>
        </w:rPr>
      </w:pPr>
      <w:r>
        <w:rPr>
          <w:i/>
          <w:sz w:val="22"/>
        </w:rPr>
        <w:t>The order of impacts does not necessarily reflect their magnitude.</w:t>
      </w:r>
    </w:p>
    <w:p>
      <w:pPr>
        <w:pStyle w:val="BodyText"/>
        <w:spacing w:before="3"/>
        <w:rPr>
          <w:i/>
          <w:sz w:val="31"/>
        </w:rPr>
      </w:pPr>
    </w:p>
    <w:p>
      <w:pPr>
        <w:pStyle w:val="BodyText"/>
        <w:ind w:left="132"/>
        <w:jc w:val="both"/>
      </w:pPr>
      <w:r>
        <w:rPr/>
        <w:t>Further information about the environmental impacts of road lighting and traffic signals can be found in the technical report.</w:t>
      </w:r>
    </w:p>
    <w:p>
      <w:pPr>
        <w:spacing w:after="0"/>
        <w:jc w:val="both"/>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3"/>
        </w:numPr>
        <w:tabs>
          <w:tab w:pos="699" w:val="left" w:leader="none"/>
          <w:tab w:pos="700" w:val="left" w:leader="none"/>
        </w:tabs>
        <w:spacing w:line="240" w:lineRule="auto" w:before="246" w:after="0"/>
        <w:ind w:left="699" w:right="1433" w:hanging="567"/>
        <w:jc w:val="left"/>
      </w:pPr>
      <w:bookmarkStart w:name="_TOC_250005" w:id="4"/>
      <w:r>
        <w:rPr/>
        <w:t>EU</w:t>
      </w:r>
      <w:r>
        <w:rPr>
          <w:spacing w:val="-3"/>
        </w:rPr>
        <w:t> </w:t>
      </w:r>
      <w:r>
        <w:rPr/>
        <w:t>GPP</w:t>
      </w:r>
      <w:r>
        <w:rPr>
          <w:spacing w:val="-18"/>
        </w:rPr>
        <w:t> </w:t>
      </w:r>
      <w:r>
        <w:rPr/>
        <w:t>CRITERIA</w:t>
      </w:r>
      <w:r>
        <w:rPr>
          <w:spacing w:val="-17"/>
        </w:rPr>
        <w:t> </w:t>
      </w:r>
      <w:r>
        <w:rPr/>
        <w:t>FOR</w:t>
      </w:r>
      <w:r>
        <w:rPr>
          <w:spacing w:val="-8"/>
        </w:rPr>
        <w:t> </w:t>
      </w:r>
      <w:r>
        <w:rPr/>
        <w:t>THE</w:t>
      </w:r>
      <w:r>
        <w:rPr>
          <w:spacing w:val="-2"/>
        </w:rPr>
        <w:t> </w:t>
      </w:r>
      <w:r>
        <w:rPr/>
        <w:t>CONTRACTING</w:t>
      </w:r>
      <w:r>
        <w:rPr>
          <w:spacing w:val="-3"/>
        </w:rPr>
        <w:t> </w:t>
      </w:r>
      <w:r>
        <w:rPr/>
        <w:t>OF</w:t>
      </w:r>
      <w:r>
        <w:rPr>
          <w:spacing w:val="-14"/>
        </w:rPr>
        <w:t> </w:t>
      </w:r>
      <w:r>
        <w:rPr/>
        <w:t>DESIGN</w:t>
      </w:r>
      <w:r>
        <w:rPr>
          <w:spacing w:val="-2"/>
        </w:rPr>
        <w:t> </w:t>
      </w:r>
      <w:r>
        <w:rPr/>
        <w:t>SERVICES,</w:t>
      </w:r>
      <w:r>
        <w:rPr>
          <w:spacing w:val="-3"/>
        </w:rPr>
        <w:t> </w:t>
      </w:r>
      <w:r>
        <w:rPr/>
        <w:t>PURCHASE</w:t>
      </w:r>
      <w:r>
        <w:rPr>
          <w:spacing w:val="-3"/>
        </w:rPr>
        <w:t> </w:t>
      </w:r>
      <w:r>
        <w:rPr/>
        <w:t>OF</w:t>
      </w:r>
      <w:r>
        <w:rPr>
          <w:spacing w:val="-13"/>
        </w:rPr>
        <w:t> </w:t>
      </w:r>
      <w:r>
        <w:rPr/>
        <w:t>LIGHTING EQUIPMENT AND/OR CONTRACTING OF </w:t>
      </w:r>
      <w:r>
        <w:rPr>
          <w:spacing w:val="-5"/>
        </w:rPr>
        <w:t>INSTALLATION </w:t>
      </w:r>
      <w:r>
        <w:rPr/>
        <w:t>WORKS FOR ROAD</w:t>
      </w:r>
      <w:r>
        <w:rPr>
          <w:spacing w:val="-36"/>
        </w:rPr>
        <w:t> </w:t>
      </w:r>
      <w:bookmarkEnd w:id="4"/>
      <w:r>
        <w:rPr/>
        <w:t>LIGHTING</w:t>
      </w:r>
    </w:p>
    <w:p>
      <w:pPr>
        <w:pStyle w:val="BodyText"/>
        <w:spacing w:before="4"/>
        <w:rPr>
          <w:b/>
          <w:sz w:val="30"/>
        </w:rPr>
      </w:pPr>
    </w:p>
    <w:p>
      <w:pPr>
        <w:pStyle w:val="Heading1"/>
        <w:numPr>
          <w:ilvl w:val="1"/>
          <w:numId w:val="3"/>
        </w:numPr>
        <w:tabs>
          <w:tab w:pos="984" w:val="left" w:leader="none"/>
          <w:tab w:pos="985" w:val="left" w:leader="none"/>
        </w:tabs>
        <w:spacing w:line="240" w:lineRule="auto" w:before="0" w:after="0"/>
        <w:ind w:left="984" w:right="0" w:hanging="852"/>
        <w:jc w:val="left"/>
      </w:pPr>
      <w:bookmarkStart w:name="_TOC_250004" w:id="5"/>
      <w:r>
        <w:rPr/>
        <w:t>Preliminary assessment of existing lighting infrastructure and installation of dedicated</w:t>
      </w:r>
      <w:r>
        <w:rPr>
          <w:spacing w:val="-22"/>
        </w:rPr>
        <w:t> </w:t>
      </w:r>
      <w:bookmarkEnd w:id="5"/>
      <w:r>
        <w:rPr/>
        <w:t>metering</w:t>
      </w:r>
    </w:p>
    <w:p>
      <w:pPr>
        <w:pStyle w:val="BodyText"/>
        <w:rPr>
          <w:b/>
          <w:sz w:val="20"/>
        </w:rPr>
      </w:pPr>
    </w:p>
    <w:p>
      <w:pPr>
        <w:pStyle w:val="BodyText"/>
        <w:spacing w:before="7" w:after="1"/>
        <w:rPr>
          <w:b/>
          <w:sz w:val="10"/>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95" w:hRule="atLeast"/>
        </w:trPr>
        <w:tc>
          <w:tcPr>
            <w:tcW w:w="14506" w:type="dxa"/>
            <w:shd w:val="clear" w:color="auto" w:fill="92D050"/>
          </w:tcPr>
          <w:p>
            <w:pPr>
              <w:pStyle w:val="TableParagraph"/>
              <w:spacing w:before="56"/>
              <w:ind w:left="5054" w:right="5037"/>
              <w:jc w:val="center"/>
              <w:rPr>
                <w:b/>
                <w:sz w:val="24"/>
              </w:rPr>
            </w:pPr>
            <w:r>
              <w:rPr>
                <w:b/>
                <w:sz w:val="24"/>
              </w:rPr>
              <w:t>SUBJECT MATTER</w:t>
            </w:r>
          </w:p>
        </w:tc>
      </w:tr>
      <w:tr>
        <w:trPr>
          <w:trHeight w:val="794" w:hRule="atLeast"/>
        </w:trPr>
        <w:tc>
          <w:tcPr>
            <w:tcW w:w="14506" w:type="dxa"/>
          </w:tcPr>
          <w:p>
            <w:pPr>
              <w:pStyle w:val="TableParagraph"/>
              <w:spacing w:before="111"/>
              <w:ind w:right="83"/>
              <w:rPr>
                <w:sz w:val="24"/>
              </w:rPr>
            </w:pPr>
            <w:r>
              <w:rPr>
                <w:sz w:val="24"/>
              </w:rPr>
              <w:t>The criterion in section 3.1 relates specifically to the assessment and auditing of existing road lighting infrastructure, lamps, ancillary equipment and records of maintenance and electricity consumption.</w:t>
            </w:r>
          </w:p>
        </w:tc>
      </w:tr>
    </w:tbl>
    <w:p>
      <w:pPr>
        <w:pStyle w:val="BodyText"/>
        <w:rPr>
          <w:b/>
          <w:sz w:val="20"/>
        </w:rPr>
      </w:pPr>
    </w:p>
    <w:p>
      <w:pPr>
        <w:pStyle w:val="BodyText"/>
        <w:spacing w:before="3"/>
        <w:rPr>
          <w:b/>
          <w:sz w:val="1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75"/>
      </w:tblGrid>
      <w:tr>
        <w:trPr>
          <w:trHeight w:val="518" w:hRule="atLeast"/>
        </w:trPr>
        <w:tc>
          <w:tcPr>
            <w:tcW w:w="14575" w:type="dxa"/>
            <w:shd w:val="clear" w:color="auto" w:fill="92D050"/>
          </w:tcPr>
          <w:p>
            <w:pPr>
              <w:pStyle w:val="TableParagraph"/>
              <w:spacing w:before="119"/>
              <w:ind w:left="5019" w:right="5012"/>
              <w:jc w:val="center"/>
              <w:rPr>
                <w:b/>
                <w:sz w:val="24"/>
              </w:rPr>
            </w:pPr>
            <w:r>
              <w:rPr>
                <w:b/>
                <w:sz w:val="24"/>
              </w:rPr>
              <w:t>CONTRACT PERFORMANCE CLAUSES</w:t>
            </w:r>
          </w:p>
        </w:tc>
      </w:tr>
      <w:tr>
        <w:trPr>
          <w:trHeight w:val="3650" w:hRule="atLeast"/>
        </w:trPr>
        <w:tc>
          <w:tcPr>
            <w:tcW w:w="14575" w:type="dxa"/>
          </w:tcPr>
          <w:p>
            <w:pPr>
              <w:pStyle w:val="TableParagraph"/>
              <w:spacing w:line="273" w:lineRule="exact"/>
              <w:ind w:left="107"/>
              <w:rPr>
                <w:b/>
                <w:sz w:val="24"/>
              </w:rPr>
            </w:pPr>
            <w:r>
              <w:rPr>
                <w:b/>
                <w:sz w:val="24"/>
              </w:rPr>
              <w:t>CPC1. Preliminary assessment of existing lighting infrastructure and installation of dedicated metering</w:t>
            </w:r>
          </w:p>
          <w:p>
            <w:pPr>
              <w:pStyle w:val="TableParagraph"/>
              <w:spacing w:before="115"/>
              <w:ind w:left="107"/>
              <w:rPr>
                <w:i/>
                <w:sz w:val="24"/>
              </w:rPr>
            </w:pPr>
            <w:r>
              <w:rPr>
                <w:i/>
                <w:sz w:val="24"/>
              </w:rPr>
              <w:t>(Same for core and comprehensive criteria.)</w:t>
            </w:r>
          </w:p>
          <w:p>
            <w:pPr>
              <w:pStyle w:val="TableParagraph"/>
              <w:spacing w:before="125"/>
              <w:ind w:left="107" w:right="93"/>
              <w:jc w:val="both"/>
              <w:rPr>
                <w:b/>
                <w:i/>
                <w:sz w:val="24"/>
              </w:rPr>
            </w:pPr>
            <w:r>
              <w:rPr>
                <w:b/>
                <w:i/>
                <w:sz w:val="24"/>
              </w:rPr>
              <w:t>(This contract should be considered a standalone preliminary procedure. It is not directly linked to any subsequent procurement exercises for the </w:t>
            </w:r>
            <w:r>
              <w:rPr>
                <w:b/>
                <w:i/>
                <w:sz w:val="24"/>
              </w:rPr>
              <w:t>purchase of road lighting equipment or to the EU GPP criteria set out later in this document. This preliminary assessment should apply only when the procuring authority identifies the need to improve knowledge about their existing installed road lighting assets; when there is a need to install road lighting-specific electricity metering; or when the procurer decides not to use in-house staff to carry out this assessment.)</w:t>
            </w:r>
          </w:p>
          <w:p>
            <w:pPr>
              <w:pStyle w:val="TableParagraph"/>
              <w:spacing w:before="115"/>
              <w:ind w:left="107"/>
              <w:jc w:val="both"/>
              <w:rPr>
                <w:sz w:val="24"/>
              </w:rPr>
            </w:pPr>
            <w:r>
              <w:rPr>
                <w:sz w:val="24"/>
              </w:rPr>
              <w:t>The currently installed road lighting assets identified by the procurer within a defined area must be assessed for the following aspects:</w:t>
            </w:r>
          </w:p>
          <w:p>
            <w:pPr>
              <w:pStyle w:val="TableParagraph"/>
              <w:numPr>
                <w:ilvl w:val="0"/>
                <w:numId w:val="16"/>
              </w:numPr>
              <w:tabs>
                <w:tab w:pos="828" w:val="left" w:leader="none"/>
              </w:tabs>
              <w:spacing w:line="240" w:lineRule="auto" w:before="139" w:after="0"/>
              <w:ind w:left="827" w:right="0" w:hanging="360"/>
              <w:jc w:val="left"/>
              <w:rPr>
                <w:sz w:val="24"/>
              </w:rPr>
            </w:pPr>
            <w:r>
              <w:rPr>
                <w:sz w:val="24"/>
              </w:rPr>
              <w:t>mapping of light points and assignment of unique light point </w:t>
            </w:r>
            <w:r>
              <w:rPr>
                <w:spacing w:val="-3"/>
                <w:sz w:val="24"/>
              </w:rPr>
              <w:t>ID </w:t>
            </w:r>
            <w:r>
              <w:rPr>
                <w:sz w:val="24"/>
              </w:rPr>
              <w:t>numbers (if not already</w:t>
            </w:r>
            <w:r>
              <w:rPr>
                <w:spacing w:val="-12"/>
                <w:sz w:val="24"/>
              </w:rPr>
              <w:t> </w:t>
            </w:r>
            <w:r>
              <w:rPr>
                <w:sz w:val="24"/>
              </w:rPr>
              <w:t>done);</w:t>
            </w:r>
          </w:p>
          <w:p>
            <w:pPr>
              <w:pStyle w:val="TableParagraph"/>
              <w:numPr>
                <w:ilvl w:val="0"/>
                <w:numId w:val="16"/>
              </w:numPr>
              <w:tabs>
                <w:tab w:pos="828" w:val="left" w:leader="none"/>
              </w:tabs>
              <w:spacing w:line="240" w:lineRule="auto" w:before="117" w:after="0"/>
              <w:ind w:left="827" w:right="0" w:hanging="360"/>
              <w:jc w:val="left"/>
              <w:rPr>
                <w:sz w:val="24"/>
              </w:rPr>
            </w:pPr>
            <w:r>
              <w:rPr>
                <w:sz w:val="24"/>
              </w:rPr>
              <w:t>luminaire model, efficacy, ratio of upward light output and year of installation (where information is</w:t>
            </w:r>
            <w:r>
              <w:rPr>
                <w:spacing w:val="-13"/>
                <w:sz w:val="24"/>
              </w:rPr>
              <w:t> </w:t>
            </w:r>
            <w:r>
              <w:rPr>
                <w:sz w:val="24"/>
              </w:rPr>
              <w:t>available);</w:t>
            </w:r>
          </w:p>
          <w:p>
            <w:pPr>
              <w:pStyle w:val="TableParagraph"/>
              <w:numPr>
                <w:ilvl w:val="0"/>
                <w:numId w:val="16"/>
              </w:numPr>
              <w:tabs>
                <w:tab w:pos="828" w:val="left" w:leader="none"/>
              </w:tabs>
              <w:spacing w:line="240" w:lineRule="auto" w:before="117" w:after="0"/>
              <w:ind w:left="827" w:right="0" w:hanging="360"/>
              <w:jc w:val="left"/>
              <w:rPr>
                <w:sz w:val="24"/>
              </w:rPr>
            </w:pPr>
            <w:r>
              <w:rPr>
                <w:sz w:val="24"/>
              </w:rPr>
              <w:t>lamp technology, rated power, correlated colour temperature (CCT) and year of</w:t>
            </w:r>
            <w:r>
              <w:rPr>
                <w:spacing w:val="-10"/>
                <w:sz w:val="24"/>
              </w:rPr>
              <w:t> </w:t>
            </w:r>
            <w:r>
              <w:rPr>
                <w:sz w:val="24"/>
              </w:rPr>
              <w:t>installation;</w:t>
            </w:r>
          </w:p>
        </w:tc>
      </w:tr>
    </w:tbl>
    <w:p>
      <w:pPr>
        <w:spacing w:after="0" w:line="240" w:lineRule="auto"/>
        <w:jc w:val="left"/>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75"/>
      </w:tblGrid>
      <w:tr>
        <w:trPr>
          <w:trHeight w:val="2428" w:hRule="atLeast"/>
        </w:trPr>
        <w:tc>
          <w:tcPr>
            <w:tcW w:w="14575" w:type="dxa"/>
          </w:tcPr>
          <w:p>
            <w:pPr>
              <w:pStyle w:val="TableParagraph"/>
              <w:numPr>
                <w:ilvl w:val="0"/>
                <w:numId w:val="17"/>
              </w:numPr>
              <w:tabs>
                <w:tab w:pos="828" w:val="left" w:leader="none"/>
              </w:tabs>
              <w:spacing w:line="240" w:lineRule="auto" w:before="11" w:after="0"/>
              <w:ind w:left="827" w:right="0" w:hanging="360"/>
              <w:jc w:val="left"/>
              <w:rPr>
                <w:sz w:val="24"/>
              </w:rPr>
            </w:pPr>
            <w:r>
              <w:rPr>
                <w:sz w:val="24"/>
              </w:rPr>
              <w:t>presence/absence of dimming</w:t>
            </w:r>
            <w:r>
              <w:rPr>
                <w:spacing w:val="-6"/>
                <w:sz w:val="24"/>
              </w:rPr>
              <w:t> </w:t>
            </w:r>
            <w:r>
              <w:rPr>
                <w:sz w:val="24"/>
              </w:rPr>
              <w:t>controls.</w:t>
            </w:r>
          </w:p>
          <w:p>
            <w:pPr>
              <w:pStyle w:val="TableParagraph"/>
              <w:spacing w:before="97"/>
              <w:ind w:left="107" w:right="96"/>
              <w:jc w:val="both"/>
              <w:rPr>
                <w:sz w:val="24"/>
              </w:rPr>
            </w:pPr>
            <w:r>
              <w:rPr>
                <w:sz w:val="24"/>
              </w:rPr>
              <w:t>The entire lighting network shall be split into sub-areas (if not already previously done by the procuring authority) and each sub-area shall be assessed to determine if specific metering of road lighting electricity consumption is in place.</w:t>
            </w:r>
          </w:p>
          <w:p>
            <w:pPr>
              <w:pStyle w:val="TableParagraph"/>
              <w:spacing w:before="120"/>
              <w:ind w:left="107"/>
              <w:rPr>
                <w:sz w:val="24"/>
              </w:rPr>
            </w:pPr>
            <w:r>
              <w:rPr>
                <w:sz w:val="24"/>
              </w:rPr>
              <w:t>In cases where specific metering is not in place, new meters and, if necessary, junction boxes shall be installed.</w:t>
            </w:r>
          </w:p>
          <w:p>
            <w:pPr>
              <w:pStyle w:val="TableParagraph"/>
              <w:spacing w:before="120"/>
              <w:ind w:left="107" w:right="95"/>
              <w:jc w:val="both"/>
              <w:rPr>
                <w:sz w:val="24"/>
              </w:rPr>
            </w:pPr>
            <w:r>
              <w:rPr>
                <w:sz w:val="24"/>
              </w:rPr>
              <w:t>Once the appropriate metering has been installed, records shall be kept of the electricity consumption attributable to road lighting operation in each defined sub-area. This information shall then be used by the procurer as a basis for any future cost-benefit analyses when considering the procurement of new lighting equipment.</w:t>
            </w:r>
          </w:p>
        </w:tc>
      </w:tr>
    </w:tbl>
    <w:p>
      <w:pPr>
        <w:spacing w:after="0"/>
        <w:jc w:val="both"/>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pStyle w:val="ListParagraph"/>
        <w:numPr>
          <w:ilvl w:val="1"/>
          <w:numId w:val="3"/>
        </w:numPr>
        <w:tabs>
          <w:tab w:pos="984" w:val="left" w:leader="none"/>
          <w:tab w:pos="985" w:val="left" w:leader="none"/>
        </w:tabs>
        <w:spacing w:line="240" w:lineRule="auto" w:before="89" w:after="0"/>
        <w:ind w:left="984" w:right="0" w:hanging="852"/>
        <w:jc w:val="left"/>
        <w:rPr>
          <w:b/>
          <w:sz w:val="28"/>
        </w:rPr>
      </w:pPr>
      <w:r>
        <w:rPr>
          <w:b/>
          <w:sz w:val="28"/>
        </w:rPr>
        <w:t>Selection criteria (SC) and relevant contract performance clauses</w:t>
      </w:r>
      <w:r>
        <w:rPr>
          <w:b/>
          <w:spacing w:val="-9"/>
          <w:sz w:val="28"/>
        </w:rPr>
        <w:t> </w:t>
      </w:r>
      <w:r>
        <w:rPr>
          <w:b/>
          <w:sz w:val="28"/>
        </w:rPr>
        <w:t>(CPC)</w:t>
      </w:r>
    </w:p>
    <w:p>
      <w:pPr>
        <w:pStyle w:val="BodyText"/>
        <w:rPr>
          <w:b/>
          <w:sz w:val="20"/>
        </w:rPr>
      </w:pPr>
    </w:p>
    <w:p>
      <w:pPr>
        <w:pStyle w:val="BodyText"/>
        <w:spacing w:before="7"/>
        <w:rPr>
          <w:b/>
          <w:sz w:val="10"/>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95" w:hRule="atLeast"/>
        </w:trPr>
        <w:tc>
          <w:tcPr>
            <w:tcW w:w="14506" w:type="dxa"/>
            <w:shd w:val="clear" w:color="auto" w:fill="92D050"/>
          </w:tcPr>
          <w:p>
            <w:pPr>
              <w:pStyle w:val="TableParagraph"/>
              <w:spacing w:before="56"/>
              <w:ind w:left="5054" w:right="5037"/>
              <w:jc w:val="center"/>
              <w:rPr>
                <w:b/>
                <w:sz w:val="24"/>
              </w:rPr>
            </w:pPr>
            <w:r>
              <w:rPr>
                <w:b/>
                <w:sz w:val="24"/>
              </w:rPr>
              <w:t>SUBJECT MATTER</w:t>
            </w:r>
          </w:p>
        </w:tc>
      </w:tr>
      <w:tr>
        <w:trPr>
          <w:trHeight w:val="1343" w:hRule="atLeast"/>
        </w:trPr>
        <w:tc>
          <w:tcPr>
            <w:tcW w:w="14506" w:type="dxa"/>
          </w:tcPr>
          <w:p>
            <w:pPr>
              <w:pStyle w:val="TableParagraph"/>
              <w:spacing w:before="111"/>
              <w:ind w:right="92"/>
              <w:jc w:val="both"/>
              <w:rPr>
                <w:sz w:val="24"/>
              </w:rPr>
            </w:pPr>
            <w:r>
              <w:rPr>
                <w:sz w:val="24"/>
              </w:rPr>
              <w:t>The criteria in section 3.2 relate specifically to the competency and experience of the design and/or installation team for the services and/or works to be provided. These selection criteria may be fully or partly applicable to any contracts involving the subject matter defined later in section 3.3 (purchase of energy efficient road lighting equipment), section 3.4 (purchase of low light pollution road lighting equipment) and section 3.5 (purchase of good quality and durable road lighting equipment).</w:t>
            </w:r>
          </w:p>
        </w:tc>
      </w:tr>
    </w:tbl>
    <w:p>
      <w:pPr>
        <w:pStyle w:val="BodyText"/>
        <w:rPr>
          <w:b/>
          <w:sz w:val="20"/>
        </w:rPr>
      </w:pPr>
    </w:p>
    <w:p>
      <w:pPr>
        <w:pStyle w:val="BodyText"/>
        <w:spacing w:before="5"/>
        <w:rPr>
          <w:b/>
          <w:sz w:val="14"/>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86"/>
        <w:gridCol w:w="7250"/>
      </w:tblGrid>
      <w:tr>
        <w:trPr>
          <w:trHeight w:val="395" w:hRule="atLeast"/>
        </w:trPr>
        <w:tc>
          <w:tcPr>
            <w:tcW w:w="7286" w:type="dxa"/>
            <w:shd w:val="clear" w:color="auto" w:fill="FFC000"/>
          </w:tcPr>
          <w:p>
            <w:pPr>
              <w:pStyle w:val="TableParagraph"/>
              <w:spacing w:before="56"/>
              <w:ind w:left="2960" w:right="2949"/>
              <w:jc w:val="center"/>
              <w:rPr>
                <w:b/>
                <w:sz w:val="24"/>
              </w:rPr>
            </w:pPr>
            <w:r>
              <w:rPr>
                <w:b/>
                <w:sz w:val="24"/>
              </w:rPr>
              <w:t>Core criteria</w:t>
            </w:r>
          </w:p>
        </w:tc>
        <w:tc>
          <w:tcPr>
            <w:tcW w:w="7250" w:type="dxa"/>
            <w:shd w:val="clear" w:color="auto" w:fill="FFC000"/>
          </w:tcPr>
          <w:p>
            <w:pPr>
              <w:pStyle w:val="TableParagraph"/>
              <w:spacing w:before="56"/>
              <w:ind w:left="2416"/>
              <w:rPr>
                <w:b/>
                <w:sz w:val="24"/>
              </w:rPr>
            </w:pPr>
            <w:r>
              <w:rPr>
                <w:b/>
                <w:sz w:val="24"/>
              </w:rPr>
              <w:t>Comprehensive criteria</w:t>
            </w:r>
          </w:p>
        </w:tc>
      </w:tr>
      <w:tr>
        <w:trPr>
          <w:trHeight w:val="398" w:hRule="atLeast"/>
        </w:trPr>
        <w:tc>
          <w:tcPr>
            <w:tcW w:w="14536" w:type="dxa"/>
            <w:gridSpan w:val="2"/>
            <w:shd w:val="clear" w:color="auto" w:fill="92D050"/>
          </w:tcPr>
          <w:p>
            <w:pPr>
              <w:pStyle w:val="TableParagraph"/>
              <w:spacing w:before="59"/>
              <w:ind w:left="5917" w:right="5907"/>
              <w:jc w:val="center"/>
              <w:rPr>
                <w:b/>
                <w:sz w:val="24"/>
              </w:rPr>
            </w:pPr>
            <w:r>
              <w:rPr>
                <w:b/>
                <w:sz w:val="24"/>
              </w:rPr>
              <w:t>SELECTION CRITERIA</w:t>
            </w:r>
          </w:p>
        </w:tc>
      </w:tr>
      <w:tr>
        <w:trPr>
          <w:trHeight w:val="3493" w:hRule="atLeast"/>
        </w:trPr>
        <w:tc>
          <w:tcPr>
            <w:tcW w:w="14536" w:type="dxa"/>
            <w:gridSpan w:val="2"/>
          </w:tcPr>
          <w:p>
            <w:pPr>
              <w:pStyle w:val="TableParagraph"/>
              <w:spacing w:line="273" w:lineRule="exact"/>
              <w:ind w:left="107"/>
              <w:rPr>
                <w:b/>
                <w:sz w:val="24"/>
              </w:rPr>
            </w:pPr>
            <w:r>
              <w:rPr>
                <w:b/>
                <w:sz w:val="24"/>
              </w:rPr>
              <w:t>SC1. Competencies of the design team</w:t>
            </w:r>
          </w:p>
          <w:p>
            <w:pPr>
              <w:pStyle w:val="TableParagraph"/>
              <w:spacing w:before="115"/>
              <w:ind w:left="107"/>
              <w:rPr>
                <w:i/>
                <w:sz w:val="24"/>
              </w:rPr>
            </w:pPr>
            <w:r>
              <w:rPr>
                <w:i/>
                <w:sz w:val="24"/>
              </w:rPr>
              <w:t>(Same for core and comprehensive criteria.)</w:t>
            </w:r>
          </w:p>
          <w:p>
            <w:pPr>
              <w:pStyle w:val="TableParagraph"/>
              <w:spacing w:before="125"/>
              <w:ind w:left="107"/>
              <w:rPr>
                <w:b/>
                <w:i/>
                <w:sz w:val="24"/>
              </w:rPr>
            </w:pPr>
            <w:r>
              <w:rPr>
                <w:b/>
                <w:i/>
                <w:sz w:val="24"/>
              </w:rPr>
              <w:t>(Applies when a lighting design is requested in the procurement exercise.)</w:t>
            </w:r>
          </w:p>
          <w:p>
            <w:pPr>
              <w:pStyle w:val="TableParagraph"/>
              <w:ind w:left="0"/>
              <w:rPr>
                <w:b/>
                <w:sz w:val="26"/>
              </w:rPr>
            </w:pPr>
          </w:p>
          <w:p>
            <w:pPr>
              <w:pStyle w:val="TableParagraph"/>
              <w:spacing w:before="212"/>
              <w:ind w:left="107"/>
              <w:rPr>
                <w:sz w:val="24"/>
              </w:rPr>
            </w:pPr>
            <w:r>
              <w:rPr>
                <w:sz w:val="24"/>
              </w:rPr>
              <w:t>The tenderer shall demonstrate that the design will be checked and approved by staff with the following minimum experience and qualifications:</w:t>
            </w:r>
          </w:p>
          <w:p>
            <w:pPr>
              <w:pStyle w:val="TableParagraph"/>
              <w:numPr>
                <w:ilvl w:val="0"/>
                <w:numId w:val="18"/>
              </w:numPr>
              <w:tabs>
                <w:tab w:pos="828" w:val="left" w:leader="none"/>
              </w:tabs>
              <w:spacing w:line="240" w:lineRule="auto" w:before="139" w:after="0"/>
              <w:ind w:left="827" w:right="0" w:hanging="360"/>
              <w:jc w:val="left"/>
              <w:rPr>
                <w:sz w:val="24"/>
              </w:rPr>
            </w:pPr>
            <w:r>
              <w:rPr>
                <w:sz w:val="24"/>
              </w:rPr>
              <w:t>at least three years’ experience in lighting design, dimensioning of electrical circuits and electrical distribution</w:t>
            </w:r>
            <w:r>
              <w:rPr>
                <w:spacing w:val="-35"/>
                <w:sz w:val="24"/>
              </w:rPr>
              <w:t> </w:t>
            </w:r>
            <w:r>
              <w:rPr>
                <w:sz w:val="24"/>
              </w:rPr>
              <w:t>networks,</w:t>
            </w:r>
          </w:p>
          <w:p>
            <w:pPr>
              <w:pStyle w:val="TableParagraph"/>
              <w:numPr>
                <w:ilvl w:val="0"/>
                <w:numId w:val="18"/>
              </w:numPr>
              <w:tabs>
                <w:tab w:pos="828" w:val="left" w:leader="none"/>
              </w:tabs>
              <w:spacing w:line="240" w:lineRule="auto" w:before="117" w:after="0"/>
              <w:ind w:left="827" w:right="0" w:hanging="360"/>
              <w:jc w:val="left"/>
              <w:rPr>
                <w:sz w:val="24"/>
              </w:rPr>
            </w:pPr>
            <w:r>
              <w:rPr>
                <w:sz w:val="24"/>
              </w:rPr>
              <w:t>involvement in the design of at least three different outdoor lighting</w:t>
            </w:r>
            <w:r>
              <w:rPr>
                <w:spacing w:val="-10"/>
                <w:sz w:val="24"/>
              </w:rPr>
              <w:t> </w:t>
            </w:r>
            <w:r>
              <w:rPr>
                <w:sz w:val="24"/>
              </w:rPr>
              <w:t>installations,</w:t>
            </w:r>
          </w:p>
          <w:p>
            <w:pPr>
              <w:pStyle w:val="TableParagraph"/>
              <w:numPr>
                <w:ilvl w:val="0"/>
                <w:numId w:val="18"/>
              </w:numPr>
              <w:tabs>
                <w:tab w:pos="828" w:val="left" w:leader="none"/>
              </w:tabs>
              <w:spacing w:line="220" w:lineRule="auto" w:before="133" w:after="0"/>
              <w:ind w:left="827" w:right="93" w:hanging="360"/>
              <w:jc w:val="left"/>
              <w:rPr>
                <w:sz w:val="24"/>
              </w:rPr>
            </w:pPr>
            <w:r>
              <w:rPr>
                <w:sz w:val="24"/>
              </w:rPr>
              <w:t>a certified level of competency in the use of lighting design software for power density indicator (PDI) and annual energy consumption indicator (AECI) calculations (e.g. European Lighting Expert</w:t>
            </w:r>
            <w:r>
              <w:rPr>
                <w:spacing w:val="-4"/>
                <w:sz w:val="24"/>
              </w:rPr>
              <w:t> </w:t>
            </w:r>
            <w:r>
              <w:rPr>
                <w:sz w:val="24"/>
              </w:rPr>
              <w:t>certificate),</w:t>
            </w:r>
          </w:p>
        </w:tc>
      </w:tr>
    </w:tbl>
    <w:p>
      <w:pPr>
        <w:spacing w:after="0" w:line="220" w:lineRule="auto"/>
        <w:jc w:val="left"/>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37"/>
      </w:tblGrid>
      <w:tr>
        <w:trPr>
          <w:trHeight w:val="2997" w:hRule="atLeast"/>
        </w:trPr>
        <w:tc>
          <w:tcPr>
            <w:tcW w:w="14537" w:type="dxa"/>
          </w:tcPr>
          <w:p>
            <w:pPr>
              <w:pStyle w:val="TableParagraph"/>
              <w:numPr>
                <w:ilvl w:val="0"/>
                <w:numId w:val="19"/>
              </w:numPr>
              <w:tabs>
                <w:tab w:pos="828" w:val="left" w:leader="none"/>
              </w:tabs>
              <w:spacing w:line="220" w:lineRule="auto" w:before="27" w:after="0"/>
              <w:ind w:left="827" w:right="97" w:hanging="360"/>
              <w:jc w:val="left"/>
              <w:rPr>
                <w:sz w:val="24"/>
              </w:rPr>
            </w:pPr>
            <w:r>
              <w:rPr>
                <w:sz w:val="24"/>
              </w:rPr>
              <w:t>experience with the use of validated lighting calculation software (e.g. according to CIE 171, road surface reflectance tables or other relevant standards),</w:t>
            </w:r>
          </w:p>
          <w:p>
            <w:pPr>
              <w:pStyle w:val="TableParagraph"/>
              <w:numPr>
                <w:ilvl w:val="0"/>
                <w:numId w:val="19"/>
              </w:numPr>
              <w:tabs>
                <w:tab w:pos="828" w:val="left" w:leader="none"/>
              </w:tabs>
              <w:spacing w:line="240" w:lineRule="auto" w:before="144" w:after="0"/>
              <w:ind w:left="827" w:right="0" w:hanging="360"/>
              <w:jc w:val="left"/>
              <w:rPr>
                <w:sz w:val="24"/>
              </w:rPr>
            </w:pPr>
            <w:r>
              <w:rPr>
                <w:sz w:val="24"/>
              </w:rPr>
              <w:t>holding</w:t>
            </w:r>
            <w:r>
              <w:rPr>
                <w:spacing w:val="-6"/>
                <w:sz w:val="24"/>
              </w:rPr>
              <w:t> </w:t>
            </w:r>
            <w:r>
              <w:rPr>
                <w:sz w:val="24"/>
              </w:rPr>
              <w:t>a</w:t>
            </w:r>
            <w:r>
              <w:rPr>
                <w:spacing w:val="-3"/>
                <w:sz w:val="24"/>
              </w:rPr>
              <w:t> </w:t>
            </w:r>
            <w:r>
              <w:rPr>
                <w:sz w:val="24"/>
              </w:rPr>
              <w:t>suitable</w:t>
            </w:r>
            <w:r>
              <w:rPr>
                <w:spacing w:val="-3"/>
                <w:sz w:val="24"/>
              </w:rPr>
              <w:t> </w:t>
            </w:r>
            <w:r>
              <w:rPr>
                <w:sz w:val="24"/>
              </w:rPr>
              <w:t>professional</w:t>
            </w:r>
            <w:r>
              <w:rPr>
                <w:spacing w:val="-3"/>
                <w:sz w:val="24"/>
              </w:rPr>
              <w:t> </w:t>
            </w:r>
            <w:r>
              <w:rPr>
                <w:sz w:val="24"/>
              </w:rPr>
              <w:t>qualification</w:t>
            </w:r>
            <w:r>
              <w:rPr>
                <w:spacing w:val="-3"/>
                <w:sz w:val="24"/>
              </w:rPr>
              <w:t> </w:t>
            </w:r>
            <w:r>
              <w:rPr>
                <w:sz w:val="24"/>
              </w:rPr>
              <w:t>in lighting</w:t>
            </w:r>
            <w:r>
              <w:rPr>
                <w:spacing w:val="-5"/>
                <w:sz w:val="24"/>
              </w:rPr>
              <w:t> </w:t>
            </w:r>
            <w:r>
              <w:rPr>
                <w:sz w:val="24"/>
              </w:rPr>
              <w:t>engineering</w:t>
            </w:r>
            <w:r>
              <w:rPr>
                <w:spacing w:val="-5"/>
                <w:sz w:val="24"/>
              </w:rPr>
              <w:t> </w:t>
            </w:r>
            <w:r>
              <w:rPr>
                <w:sz w:val="24"/>
              </w:rPr>
              <w:t>or</w:t>
            </w:r>
            <w:r>
              <w:rPr>
                <w:spacing w:val="-3"/>
                <w:sz w:val="24"/>
              </w:rPr>
              <w:t> </w:t>
            </w:r>
            <w:r>
              <w:rPr>
                <w:sz w:val="24"/>
              </w:rPr>
              <w:t>membership</w:t>
            </w:r>
            <w:r>
              <w:rPr>
                <w:spacing w:val="-3"/>
                <w:sz w:val="24"/>
              </w:rPr>
              <w:t> </w:t>
            </w:r>
            <w:r>
              <w:rPr>
                <w:sz w:val="24"/>
              </w:rPr>
              <w:t>of</w:t>
            </w:r>
            <w:r>
              <w:rPr>
                <w:spacing w:val="-3"/>
                <w:sz w:val="24"/>
              </w:rPr>
              <w:t> </w:t>
            </w:r>
            <w:r>
              <w:rPr>
                <w:sz w:val="24"/>
              </w:rPr>
              <w:t>a</w:t>
            </w:r>
            <w:r>
              <w:rPr>
                <w:spacing w:val="-4"/>
                <w:sz w:val="24"/>
              </w:rPr>
              <w:t> </w:t>
            </w:r>
            <w:r>
              <w:rPr>
                <w:sz w:val="24"/>
              </w:rPr>
              <w:t>professional</w:t>
            </w:r>
            <w:r>
              <w:rPr>
                <w:spacing w:val="-3"/>
                <w:sz w:val="24"/>
              </w:rPr>
              <w:t> </w:t>
            </w:r>
            <w:r>
              <w:rPr>
                <w:sz w:val="24"/>
              </w:rPr>
              <w:t>body</w:t>
            </w:r>
            <w:r>
              <w:rPr>
                <w:spacing w:val="-7"/>
                <w:sz w:val="24"/>
              </w:rPr>
              <w:t> </w:t>
            </w:r>
            <w:r>
              <w:rPr>
                <w:sz w:val="24"/>
              </w:rPr>
              <w:t>in</w:t>
            </w:r>
            <w:r>
              <w:rPr>
                <w:spacing w:val="-3"/>
                <w:sz w:val="24"/>
              </w:rPr>
              <w:t> </w:t>
            </w:r>
            <w:r>
              <w:rPr>
                <w:sz w:val="24"/>
              </w:rPr>
              <w:t>the</w:t>
            </w:r>
            <w:r>
              <w:rPr>
                <w:spacing w:val="-3"/>
                <w:sz w:val="24"/>
              </w:rPr>
              <w:t> </w:t>
            </w:r>
            <w:r>
              <w:rPr>
                <w:sz w:val="24"/>
              </w:rPr>
              <w:t>field</w:t>
            </w:r>
            <w:r>
              <w:rPr>
                <w:spacing w:val="-3"/>
                <w:sz w:val="24"/>
              </w:rPr>
              <w:t> </w:t>
            </w:r>
            <w:r>
              <w:rPr>
                <w:sz w:val="24"/>
              </w:rPr>
              <w:t>of</w:t>
            </w:r>
            <w:r>
              <w:rPr>
                <w:spacing w:val="-3"/>
                <w:sz w:val="24"/>
              </w:rPr>
              <w:t> </w:t>
            </w:r>
            <w:r>
              <w:rPr>
                <w:sz w:val="24"/>
              </w:rPr>
              <w:t>lighting</w:t>
            </w:r>
            <w:r>
              <w:rPr>
                <w:spacing w:val="-5"/>
                <w:sz w:val="24"/>
              </w:rPr>
              <w:t> </w:t>
            </w:r>
            <w:r>
              <w:rPr>
                <w:sz w:val="24"/>
              </w:rPr>
              <w:t>design.</w:t>
            </w:r>
          </w:p>
          <w:p>
            <w:pPr>
              <w:pStyle w:val="TableParagraph"/>
              <w:spacing w:before="98"/>
              <w:ind w:left="107" w:right="91"/>
              <w:jc w:val="both"/>
              <w:rPr>
                <w:sz w:val="24"/>
              </w:rPr>
            </w:pPr>
            <w:r>
              <w:rPr>
                <w:b/>
                <w:sz w:val="24"/>
              </w:rPr>
              <w:t>Verification: </w:t>
            </w:r>
            <w:r>
              <w:rPr>
                <w:sz w:val="24"/>
              </w:rPr>
              <w:t>The tenderer shall supply a list of the person(s) who will be responsible for the project should the tender be successful, indicating their educational and professional qualifications, relevant design experience in real projects and, if relevant, experience in and the name of any lighting design software used. This should include persons employed by subcontractors if design work is to be subcontracted.</w:t>
            </w:r>
          </w:p>
          <w:p>
            <w:pPr>
              <w:pStyle w:val="TableParagraph"/>
              <w:spacing w:before="120"/>
              <w:ind w:left="107" w:right="95"/>
              <w:jc w:val="both"/>
              <w:rPr>
                <w:sz w:val="24"/>
              </w:rPr>
            </w:pPr>
            <w:r>
              <w:rPr>
                <w:sz w:val="24"/>
              </w:rPr>
              <w:t>The procuring authority, at its own discretion, may accept experience in less than three lighting installation designs if the scale of the design project(s) was sufficiently large (i.e. amounting to at least 70% of the scale of the design project that is the subject of the invitation to tender), and the duration was sufficiently long (i.e. amounting to at least three</w:t>
            </w:r>
            <w:r>
              <w:rPr>
                <w:spacing w:val="-7"/>
                <w:sz w:val="24"/>
              </w:rPr>
              <w:t> </w:t>
            </w:r>
            <w:r>
              <w:rPr>
                <w:sz w:val="24"/>
              </w:rPr>
              <w:t>years).</w:t>
            </w:r>
          </w:p>
        </w:tc>
      </w:tr>
      <w:tr>
        <w:trPr>
          <w:trHeight w:val="4444" w:hRule="atLeast"/>
        </w:trPr>
        <w:tc>
          <w:tcPr>
            <w:tcW w:w="14537" w:type="dxa"/>
          </w:tcPr>
          <w:p>
            <w:pPr>
              <w:pStyle w:val="TableParagraph"/>
              <w:spacing w:line="275" w:lineRule="exact"/>
              <w:ind w:left="107"/>
              <w:rPr>
                <w:b/>
                <w:sz w:val="24"/>
              </w:rPr>
            </w:pPr>
            <w:r>
              <w:rPr>
                <w:b/>
                <w:sz w:val="24"/>
              </w:rPr>
              <w:t>SC2. Competencies of the installation team</w:t>
            </w:r>
          </w:p>
          <w:p>
            <w:pPr>
              <w:pStyle w:val="TableParagraph"/>
              <w:spacing w:before="115"/>
              <w:ind w:left="107"/>
              <w:rPr>
                <w:i/>
                <w:sz w:val="24"/>
              </w:rPr>
            </w:pPr>
            <w:r>
              <w:rPr>
                <w:i/>
                <w:sz w:val="24"/>
              </w:rPr>
              <w:t>(Same for core and comprehensive criteria.)</w:t>
            </w:r>
          </w:p>
          <w:p>
            <w:pPr>
              <w:pStyle w:val="TableParagraph"/>
              <w:spacing w:before="125"/>
              <w:ind w:left="107"/>
              <w:rPr>
                <w:b/>
                <w:i/>
                <w:sz w:val="24"/>
              </w:rPr>
            </w:pPr>
            <w:r>
              <w:rPr>
                <w:b/>
                <w:i/>
                <w:sz w:val="24"/>
              </w:rPr>
              <w:t>(Applies when responsibility for installation is not assumed by the procuring authority’s own maintenance staff.)</w:t>
            </w:r>
          </w:p>
          <w:p>
            <w:pPr>
              <w:pStyle w:val="TableParagraph"/>
              <w:ind w:left="0"/>
              <w:rPr>
                <w:sz w:val="26"/>
              </w:rPr>
            </w:pPr>
          </w:p>
          <w:p>
            <w:pPr>
              <w:pStyle w:val="TableParagraph"/>
              <w:spacing w:before="212"/>
              <w:ind w:left="107"/>
              <w:rPr>
                <w:sz w:val="24"/>
              </w:rPr>
            </w:pPr>
            <w:r>
              <w:rPr>
                <w:sz w:val="24"/>
              </w:rPr>
              <w:t>The tenderer shall demonstrate that the installation works will be planned, checked and approved by personnel with the following minimum experience and qualifications:</w:t>
            </w:r>
          </w:p>
          <w:p>
            <w:pPr>
              <w:pStyle w:val="TableParagraph"/>
              <w:numPr>
                <w:ilvl w:val="0"/>
                <w:numId w:val="20"/>
              </w:numPr>
              <w:tabs>
                <w:tab w:pos="828" w:val="left" w:leader="none"/>
              </w:tabs>
              <w:spacing w:line="240" w:lineRule="auto" w:before="139" w:after="0"/>
              <w:ind w:left="827" w:right="0" w:hanging="360"/>
              <w:jc w:val="left"/>
              <w:rPr>
                <w:sz w:val="24"/>
              </w:rPr>
            </w:pPr>
            <w:r>
              <w:rPr>
                <w:sz w:val="24"/>
              </w:rPr>
              <w:t>at least three years’ relevant experience in the installation of outdoor lighting</w:t>
            </w:r>
            <w:r>
              <w:rPr>
                <w:spacing w:val="-9"/>
                <w:sz w:val="24"/>
              </w:rPr>
              <w:t> </w:t>
            </w:r>
            <w:r>
              <w:rPr>
                <w:sz w:val="24"/>
              </w:rPr>
              <w:t>systems,</w:t>
            </w:r>
          </w:p>
          <w:p>
            <w:pPr>
              <w:pStyle w:val="TableParagraph"/>
              <w:numPr>
                <w:ilvl w:val="0"/>
                <w:numId w:val="20"/>
              </w:numPr>
              <w:tabs>
                <w:tab w:pos="828" w:val="left" w:leader="none"/>
              </w:tabs>
              <w:spacing w:line="240" w:lineRule="auto" w:before="117" w:after="0"/>
              <w:ind w:left="827" w:right="0" w:hanging="360"/>
              <w:jc w:val="left"/>
              <w:rPr>
                <w:sz w:val="24"/>
              </w:rPr>
            </w:pPr>
            <w:r>
              <w:rPr>
                <w:sz w:val="24"/>
              </w:rPr>
              <w:t>involvement in the installation of at least three different installation</w:t>
            </w:r>
            <w:r>
              <w:rPr>
                <w:spacing w:val="-7"/>
                <w:sz w:val="24"/>
              </w:rPr>
              <w:t> </w:t>
            </w:r>
            <w:r>
              <w:rPr>
                <w:sz w:val="24"/>
              </w:rPr>
              <w:t>projects,</w:t>
            </w:r>
          </w:p>
          <w:p>
            <w:pPr>
              <w:pStyle w:val="TableParagraph"/>
              <w:numPr>
                <w:ilvl w:val="0"/>
                <w:numId w:val="20"/>
              </w:numPr>
              <w:tabs>
                <w:tab w:pos="828" w:val="left" w:leader="none"/>
              </w:tabs>
              <w:spacing w:line="230" w:lineRule="auto" w:before="125" w:after="0"/>
              <w:ind w:left="827" w:right="95" w:hanging="360"/>
              <w:jc w:val="both"/>
              <w:rPr>
                <w:sz w:val="24"/>
              </w:rPr>
            </w:pPr>
            <w:r>
              <w:rPr>
                <w:sz w:val="24"/>
              </w:rPr>
              <w:t>a suitable professional qualification in electrical engineering and membership of a professional body relevant to the work they are undertaking (e.g. certified lighting technician). The list of relevant installed lighting systems with the relative ‘scale of the project’ should be reported.</w:t>
            </w:r>
          </w:p>
        </w:tc>
      </w:tr>
    </w:tbl>
    <w:p>
      <w:pPr>
        <w:spacing w:after="0" w:line="230" w:lineRule="auto"/>
        <w:jc w:val="both"/>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37"/>
      </w:tblGrid>
      <w:tr>
        <w:trPr>
          <w:trHeight w:val="2291" w:hRule="atLeast"/>
        </w:trPr>
        <w:tc>
          <w:tcPr>
            <w:tcW w:w="14537" w:type="dxa"/>
          </w:tcPr>
          <w:p>
            <w:pPr>
              <w:pStyle w:val="TableParagraph"/>
              <w:spacing w:line="273" w:lineRule="exact"/>
              <w:ind w:left="107"/>
              <w:rPr>
                <w:b/>
                <w:i/>
                <w:sz w:val="24"/>
              </w:rPr>
            </w:pPr>
            <w:r>
              <w:rPr>
                <w:b/>
                <w:i/>
                <w:sz w:val="24"/>
              </w:rPr>
              <w:t>Verification:</w:t>
            </w:r>
          </w:p>
          <w:p>
            <w:pPr>
              <w:pStyle w:val="TableParagraph"/>
              <w:spacing w:before="115"/>
              <w:ind w:left="107" w:right="91"/>
              <w:jc w:val="both"/>
              <w:rPr>
                <w:sz w:val="24"/>
              </w:rPr>
            </w:pPr>
            <w:r>
              <w:rPr>
                <w:sz w:val="24"/>
              </w:rPr>
              <w:t>The tenderer shall supply a list of person(s) responsible for the installation works should the tender be successful, indicating their educational and professional qualifications, training logs and relevant installation experience in real projects. This should include persons employed by subcontractors if installation work is to be subcontracted.</w:t>
            </w:r>
          </w:p>
          <w:p>
            <w:pPr>
              <w:pStyle w:val="TableParagraph"/>
              <w:spacing w:before="120"/>
              <w:ind w:left="107" w:right="93"/>
              <w:jc w:val="both"/>
              <w:rPr>
                <w:sz w:val="24"/>
              </w:rPr>
            </w:pPr>
            <w:r>
              <w:rPr>
                <w:sz w:val="24"/>
              </w:rPr>
              <w:t>The procuring authority, at its own discretion, may accept experience in less than three lighting installation works if the scale of the works was sufficiently large (i.e. amounting to at least 70 % of the scale of the design project that is the subject of the invitation to tender), and the duration was sufficiently long (i.e. amounting to at least three years).</w:t>
            </w:r>
          </w:p>
        </w:tc>
      </w:tr>
      <w:tr>
        <w:trPr>
          <w:trHeight w:val="395" w:hRule="atLeast"/>
        </w:trPr>
        <w:tc>
          <w:tcPr>
            <w:tcW w:w="14537" w:type="dxa"/>
            <w:shd w:val="clear" w:color="auto" w:fill="92D050"/>
          </w:tcPr>
          <w:p>
            <w:pPr>
              <w:pStyle w:val="TableParagraph"/>
              <w:spacing w:before="56"/>
              <w:ind w:left="5002" w:right="4991"/>
              <w:jc w:val="center"/>
              <w:rPr>
                <w:b/>
                <w:sz w:val="24"/>
              </w:rPr>
            </w:pPr>
            <w:r>
              <w:rPr>
                <w:b/>
                <w:sz w:val="24"/>
              </w:rPr>
              <w:t>CONTRACT PERFORMANCE CLAUSES</w:t>
            </w:r>
          </w:p>
        </w:tc>
      </w:tr>
      <w:tr>
        <w:trPr>
          <w:trHeight w:val="3023" w:hRule="atLeast"/>
        </w:trPr>
        <w:tc>
          <w:tcPr>
            <w:tcW w:w="14537" w:type="dxa"/>
          </w:tcPr>
          <w:p>
            <w:pPr>
              <w:pStyle w:val="TableParagraph"/>
              <w:spacing w:before="56"/>
              <w:ind w:left="107"/>
              <w:rPr>
                <w:b/>
                <w:sz w:val="24"/>
              </w:rPr>
            </w:pPr>
            <w:r>
              <w:rPr>
                <w:b/>
                <w:sz w:val="24"/>
              </w:rPr>
              <w:t>CPC2. Assurance of adequately qualified staff to carry out contracted tasks</w:t>
            </w:r>
          </w:p>
          <w:p>
            <w:pPr>
              <w:pStyle w:val="TableParagraph"/>
              <w:spacing w:before="60"/>
              <w:ind w:left="107"/>
              <w:rPr>
                <w:b/>
                <w:i/>
                <w:sz w:val="24"/>
              </w:rPr>
            </w:pPr>
            <w:r>
              <w:rPr>
                <w:b/>
                <w:i/>
                <w:sz w:val="24"/>
              </w:rPr>
              <w:t>(Applies to SC1 and SC2.)</w:t>
            </w:r>
          </w:p>
          <w:p>
            <w:pPr>
              <w:pStyle w:val="TableParagraph"/>
              <w:spacing w:before="55"/>
              <w:ind w:left="107"/>
              <w:rPr>
                <w:i/>
                <w:sz w:val="24"/>
              </w:rPr>
            </w:pPr>
            <w:r>
              <w:rPr>
                <w:i/>
                <w:sz w:val="24"/>
              </w:rPr>
              <w:t>(Same for core and comprehensive criteria.)</w:t>
            </w:r>
          </w:p>
          <w:p>
            <w:pPr>
              <w:pStyle w:val="TableParagraph"/>
              <w:ind w:left="0"/>
              <w:rPr>
                <w:sz w:val="26"/>
              </w:rPr>
            </w:pPr>
          </w:p>
          <w:p>
            <w:pPr>
              <w:pStyle w:val="TableParagraph"/>
              <w:spacing w:before="158"/>
              <w:ind w:left="107"/>
              <w:rPr>
                <w:sz w:val="24"/>
              </w:rPr>
            </w:pPr>
            <w:r>
              <w:rPr>
                <w:sz w:val="24"/>
              </w:rPr>
              <w:t>The successful tenderer (contractor) shall ensure that the personnel mentioned in the documentation provided to demonstrate compliance with SC1 and/or SC2 are indeed involved in the works covered by the contract.</w:t>
            </w:r>
          </w:p>
          <w:p>
            <w:pPr>
              <w:pStyle w:val="TableParagraph"/>
              <w:spacing w:before="60"/>
              <w:ind w:left="107"/>
              <w:rPr>
                <w:sz w:val="24"/>
              </w:rPr>
            </w:pPr>
            <w:r>
              <w:rPr>
                <w:sz w:val="24"/>
              </w:rPr>
              <w:t>In cases when the personnel originally assigned to the project are not available, the contractor must communicate this to the procuring authority and provide a substitute or substitutes of equivalent or higher experience and competency.</w:t>
            </w:r>
          </w:p>
          <w:p>
            <w:pPr>
              <w:pStyle w:val="TableParagraph"/>
              <w:spacing w:before="60"/>
              <w:ind w:left="107"/>
              <w:rPr>
                <w:sz w:val="24"/>
              </w:rPr>
            </w:pPr>
            <w:r>
              <w:rPr>
                <w:sz w:val="24"/>
              </w:rPr>
              <w:t>Proof of the qualifications of any substitute personnel shall be submitted in the same manner as described in SC1 and/or SC2, as appropriate.</w:t>
            </w:r>
          </w:p>
        </w:tc>
      </w:tr>
    </w:tbl>
    <w:p>
      <w:pPr>
        <w:spacing w:after="0"/>
        <w:rPr>
          <w:sz w:val="24"/>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pStyle w:val="ListParagraph"/>
        <w:numPr>
          <w:ilvl w:val="1"/>
          <w:numId w:val="3"/>
        </w:numPr>
        <w:tabs>
          <w:tab w:pos="984" w:val="left" w:leader="none"/>
          <w:tab w:pos="985" w:val="left" w:leader="none"/>
        </w:tabs>
        <w:spacing w:line="240" w:lineRule="auto" w:before="89" w:after="0"/>
        <w:ind w:left="984" w:right="693" w:hanging="852"/>
        <w:jc w:val="left"/>
        <w:rPr>
          <w:b/>
          <w:sz w:val="28"/>
        </w:rPr>
      </w:pPr>
      <w:r>
        <w:rPr>
          <w:b/>
          <w:sz w:val="28"/>
        </w:rPr>
        <w:t>Energy efficient lighting equipment: technical specifications (TS), award criteria (AC) and associated contract performance clauses</w:t>
      </w:r>
      <w:r>
        <w:rPr>
          <w:b/>
          <w:spacing w:val="-3"/>
          <w:sz w:val="28"/>
        </w:rPr>
        <w:t> </w:t>
      </w:r>
      <w:r>
        <w:rPr>
          <w:b/>
          <w:sz w:val="28"/>
        </w:rPr>
        <w:t>(CPC)</w:t>
      </w:r>
    </w:p>
    <w:p>
      <w:pPr>
        <w:pStyle w:val="BodyText"/>
        <w:rPr>
          <w:b/>
          <w:sz w:val="20"/>
        </w:rPr>
      </w:pPr>
    </w:p>
    <w:p>
      <w:pPr>
        <w:pStyle w:val="BodyText"/>
        <w:rPr>
          <w:b/>
          <w:sz w:val="20"/>
        </w:rPr>
      </w:pPr>
    </w:p>
    <w:p>
      <w:pPr>
        <w:pStyle w:val="BodyText"/>
        <w:rPr>
          <w:b/>
          <w:sz w:val="29"/>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95" w:hRule="atLeast"/>
        </w:trPr>
        <w:tc>
          <w:tcPr>
            <w:tcW w:w="14506" w:type="dxa"/>
            <w:shd w:val="clear" w:color="auto" w:fill="92D050"/>
          </w:tcPr>
          <w:p>
            <w:pPr>
              <w:pStyle w:val="TableParagraph"/>
              <w:spacing w:before="56"/>
              <w:ind w:left="5054" w:right="5037"/>
              <w:jc w:val="center"/>
              <w:rPr>
                <w:b/>
                <w:sz w:val="24"/>
              </w:rPr>
            </w:pPr>
            <w:r>
              <w:rPr>
                <w:b/>
                <w:sz w:val="24"/>
              </w:rPr>
              <w:t>SUBJECT MATTER</w:t>
            </w:r>
          </w:p>
        </w:tc>
      </w:tr>
      <w:tr>
        <w:trPr>
          <w:trHeight w:val="1070" w:hRule="atLeast"/>
        </w:trPr>
        <w:tc>
          <w:tcPr>
            <w:tcW w:w="14506" w:type="dxa"/>
          </w:tcPr>
          <w:p>
            <w:pPr>
              <w:pStyle w:val="TableParagraph"/>
              <w:spacing w:before="111"/>
              <w:ind w:right="93"/>
              <w:jc w:val="both"/>
              <w:rPr>
                <w:sz w:val="24"/>
              </w:rPr>
            </w:pPr>
            <w:r>
              <w:rPr>
                <w:sz w:val="24"/>
              </w:rPr>
              <w:t>The criteria in section 3.3 relate specifically to the purchase of energy efficient road lighting equipment for: new lighting installations, refurbishment of existing lighting installations, the retrofitting of new luminaires to existing installations or the retrofitting of new light sources or controls to existing luminaires. The AECI criterion (TS4) involves the contracting of design services as well.</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7"/>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9"/>
        <w:gridCol w:w="7166"/>
      </w:tblGrid>
      <w:tr>
        <w:trPr>
          <w:trHeight w:val="395" w:hRule="atLeast"/>
        </w:trPr>
        <w:tc>
          <w:tcPr>
            <w:tcW w:w="7339" w:type="dxa"/>
            <w:shd w:val="clear" w:color="auto" w:fill="FFC000"/>
          </w:tcPr>
          <w:p>
            <w:pPr>
              <w:pStyle w:val="TableParagraph"/>
              <w:spacing w:before="56"/>
              <w:ind w:left="2989" w:right="2974"/>
              <w:jc w:val="center"/>
              <w:rPr>
                <w:b/>
                <w:sz w:val="24"/>
              </w:rPr>
            </w:pPr>
            <w:r>
              <w:rPr>
                <w:b/>
                <w:sz w:val="24"/>
              </w:rPr>
              <w:t>Core criteria</w:t>
            </w:r>
          </w:p>
        </w:tc>
        <w:tc>
          <w:tcPr>
            <w:tcW w:w="7166" w:type="dxa"/>
            <w:shd w:val="clear" w:color="auto" w:fill="FFC000"/>
          </w:tcPr>
          <w:p>
            <w:pPr>
              <w:pStyle w:val="TableParagraph"/>
              <w:spacing w:before="56"/>
              <w:ind w:left="2376"/>
              <w:rPr>
                <w:b/>
                <w:sz w:val="24"/>
              </w:rPr>
            </w:pPr>
            <w:r>
              <w:rPr>
                <w:b/>
                <w:sz w:val="24"/>
              </w:rPr>
              <w:t>Comprehensive criteria</w:t>
            </w:r>
          </w:p>
        </w:tc>
      </w:tr>
      <w:tr>
        <w:trPr>
          <w:trHeight w:val="395" w:hRule="atLeast"/>
        </w:trPr>
        <w:tc>
          <w:tcPr>
            <w:tcW w:w="14505" w:type="dxa"/>
            <w:gridSpan w:val="2"/>
            <w:shd w:val="clear" w:color="auto" w:fill="92D050"/>
          </w:tcPr>
          <w:p>
            <w:pPr>
              <w:pStyle w:val="TableParagraph"/>
              <w:spacing w:before="56"/>
              <w:ind w:left="5260" w:right="5249"/>
              <w:jc w:val="center"/>
              <w:rPr>
                <w:b/>
                <w:sz w:val="24"/>
              </w:rPr>
            </w:pPr>
            <w:r>
              <w:rPr>
                <w:b/>
                <w:sz w:val="24"/>
              </w:rPr>
              <w:t>TECHNICAL SPECIFICATIONS</w:t>
            </w:r>
          </w:p>
        </w:tc>
      </w:tr>
      <w:tr>
        <w:trPr>
          <w:trHeight w:val="1816" w:hRule="atLeast"/>
        </w:trPr>
        <w:tc>
          <w:tcPr>
            <w:tcW w:w="7339" w:type="dxa"/>
          </w:tcPr>
          <w:p>
            <w:pPr>
              <w:pStyle w:val="TableParagraph"/>
              <w:spacing w:before="37"/>
              <w:rPr>
                <w:b/>
                <w:sz w:val="24"/>
              </w:rPr>
            </w:pPr>
            <w:r>
              <w:rPr>
                <w:b/>
                <w:sz w:val="24"/>
              </w:rPr>
              <w:t>TS1. Luminaire efficacy</w:t>
            </w:r>
          </w:p>
          <w:p>
            <w:pPr>
              <w:pStyle w:val="TableParagraph"/>
              <w:spacing w:before="38"/>
              <w:ind w:right="91"/>
              <w:jc w:val="both"/>
              <w:rPr>
                <w:b/>
                <w:i/>
                <w:sz w:val="24"/>
              </w:rPr>
            </w:pPr>
            <w:r>
              <w:rPr>
                <w:b/>
                <w:i/>
                <w:sz w:val="24"/>
              </w:rPr>
              <w:t>(Applicable when light sources or luminaires are to be replaced in an </w:t>
            </w:r>
            <w:r>
              <w:rPr>
                <w:b/>
                <w:i/>
                <w:sz w:val="24"/>
              </w:rPr>
              <w:t>existing lighting installation and no redesign is carried out. These ambition levels should not be applied when light sources are also requested to be rated with CCT ≤2700K.)</w:t>
            </w:r>
          </w:p>
        </w:tc>
        <w:tc>
          <w:tcPr>
            <w:tcW w:w="7166" w:type="dxa"/>
          </w:tcPr>
          <w:p>
            <w:pPr>
              <w:pStyle w:val="TableParagraph"/>
              <w:spacing w:before="37"/>
              <w:rPr>
                <w:b/>
                <w:sz w:val="24"/>
              </w:rPr>
            </w:pPr>
            <w:r>
              <w:rPr>
                <w:b/>
                <w:sz w:val="24"/>
              </w:rPr>
              <w:t>TS1. Luminaire efficacy</w:t>
            </w:r>
          </w:p>
          <w:p>
            <w:pPr>
              <w:pStyle w:val="TableParagraph"/>
              <w:spacing w:before="38"/>
              <w:ind w:right="93"/>
              <w:jc w:val="both"/>
              <w:rPr>
                <w:b/>
                <w:i/>
                <w:sz w:val="24"/>
              </w:rPr>
            </w:pPr>
            <w:r>
              <w:rPr>
                <w:b/>
                <w:i/>
                <w:sz w:val="24"/>
              </w:rPr>
              <w:t>(Applicable when light sources or luminaires are to be replaced in an </w:t>
            </w:r>
            <w:r>
              <w:rPr>
                <w:b/>
                <w:i/>
                <w:sz w:val="24"/>
              </w:rPr>
              <w:t>existing lighting installation and no redesign is carried out. These ambition levels should not be applied when light sources are also requested to be rated with CCT ≤2700K.)</w:t>
            </w:r>
          </w:p>
        </w:tc>
      </w:tr>
    </w:tbl>
    <w:p>
      <w:pPr>
        <w:spacing w:after="0"/>
        <w:jc w:val="both"/>
        <w:rPr>
          <w:sz w:val="24"/>
        </w:rPr>
        <w:sectPr>
          <w:pgSz w:w="16840" w:h="11900" w:orient="landscape"/>
          <w:pgMar w:header="0" w:footer="1334" w:top="1100" w:bottom="1520" w:left="1000" w:right="1020"/>
        </w:sectPr>
      </w:pPr>
    </w:p>
    <w:p>
      <w:pPr>
        <w:pStyle w:val="BodyText"/>
        <w:rPr>
          <w:sz w:val="20"/>
        </w:rPr>
      </w:pPr>
      <w:r>
        <w:rPr/>
        <w:pict>
          <v:shape style="position:absolute;margin-left:139.681pt;margin-top:159.240997pt;width:204.5pt;height:57.75pt;mso-position-horizontal-relative:page;mso-position-vertical-relative:page;z-index:10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6"/>
                    <w:gridCol w:w="2410"/>
                  </w:tblGrid>
                  <w:tr>
                    <w:trPr>
                      <w:trHeight w:val="277" w:hRule="atLeast"/>
                    </w:trPr>
                    <w:tc>
                      <w:tcPr>
                        <w:tcW w:w="1666" w:type="dxa"/>
                      </w:tcPr>
                      <w:p>
                        <w:pPr>
                          <w:pStyle w:val="TableParagraph"/>
                          <w:spacing w:line="258" w:lineRule="exact"/>
                          <w:ind w:left="168" w:right="164"/>
                          <w:jc w:val="center"/>
                          <w:rPr>
                            <w:sz w:val="24"/>
                          </w:rPr>
                        </w:pPr>
                        <w:r>
                          <w:rPr>
                            <w:sz w:val="24"/>
                          </w:rPr>
                          <w:t>Year of ITT*</w:t>
                        </w:r>
                      </w:p>
                    </w:tc>
                    <w:tc>
                      <w:tcPr>
                        <w:tcW w:w="2410" w:type="dxa"/>
                      </w:tcPr>
                      <w:p>
                        <w:pPr>
                          <w:pStyle w:val="TableParagraph"/>
                          <w:spacing w:line="258" w:lineRule="exact"/>
                          <w:ind w:left="391" w:right="383"/>
                          <w:jc w:val="center"/>
                          <w:rPr>
                            <w:sz w:val="24"/>
                          </w:rPr>
                        </w:pPr>
                        <w:r>
                          <w:rPr>
                            <w:sz w:val="24"/>
                          </w:rPr>
                          <w:t>Efficacy (lm/W)</w:t>
                        </w:r>
                      </w:p>
                    </w:tc>
                  </w:tr>
                  <w:tr>
                    <w:trPr>
                      <w:trHeight w:val="275" w:hRule="atLeast"/>
                    </w:trPr>
                    <w:tc>
                      <w:tcPr>
                        <w:tcW w:w="1666" w:type="dxa"/>
                      </w:tcPr>
                      <w:p>
                        <w:pPr>
                          <w:pStyle w:val="TableParagraph"/>
                          <w:spacing w:line="256" w:lineRule="exact"/>
                          <w:ind w:left="168" w:right="162"/>
                          <w:jc w:val="center"/>
                          <w:rPr>
                            <w:sz w:val="24"/>
                          </w:rPr>
                        </w:pPr>
                        <w:r>
                          <w:rPr>
                            <w:sz w:val="24"/>
                          </w:rPr>
                          <w:t>2018-19</w:t>
                        </w:r>
                      </w:p>
                    </w:tc>
                    <w:tc>
                      <w:tcPr>
                        <w:tcW w:w="2410" w:type="dxa"/>
                      </w:tcPr>
                      <w:p>
                        <w:pPr>
                          <w:pStyle w:val="TableParagraph"/>
                          <w:spacing w:line="256" w:lineRule="exact"/>
                          <w:ind w:left="391" w:right="383"/>
                          <w:jc w:val="center"/>
                          <w:rPr>
                            <w:sz w:val="24"/>
                          </w:rPr>
                        </w:pPr>
                        <w:r>
                          <w:rPr>
                            <w:sz w:val="24"/>
                          </w:rPr>
                          <w:t>120</w:t>
                        </w:r>
                      </w:p>
                    </w:tc>
                  </w:tr>
                  <w:tr>
                    <w:trPr>
                      <w:trHeight w:val="275" w:hRule="atLeast"/>
                    </w:trPr>
                    <w:tc>
                      <w:tcPr>
                        <w:tcW w:w="1666" w:type="dxa"/>
                      </w:tcPr>
                      <w:p>
                        <w:pPr>
                          <w:pStyle w:val="TableParagraph"/>
                          <w:spacing w:line="256" w:lineRule="exact"/>
                          <w:ind w:left="168" w:right="162"/>
                          <w:jc w:val="center"/>
                          <w:rPr>
                            <w:sz w:val="24"/>
                          </w:rPr>
                        </w:pPr>
                        <w:r>
                          <w:rPr>
                            <w:sz w:val="24"/>
                          </w:rPr>
                          <w:t>2020-21</w:t>
                        </w:r>
                      </w:p>
                    </w:tc>
                    <w:tc>
                      <w:tcPr>
                        <w:tcW w:w="2410" w:type="dxa"/>
                      </w:tcPr>
                      <w:p>
                        <w:pPr>
                          <w:pStyle w:val="TableParagraph"/>
                          <w:spacing w:line="256" w:lineRule="exact"/>
                          <w:ind w:left="391" w:right="383"/>
                          <w:jc w:val="center"/>
                          <w:rPr>
                            <w:sz w:val="24"/>
                          </w:rPr>
                        </w:pPr>
                        <w:r>
                          <w:rPr>
                            <w:sz w:val="24"/>
                          </w:rPr>
                          <w:t>137</w:t>
                        </w:r>
                      </w:p>
                    </w:tc>
                  </w:tr>
                  <w:tr>
                    <w:trPr>
                      <w:trHeight w:val="275" w:hRule="atLeast"/>
                    </w:trPr>
                    <w:tc>
                      <w:tcPr>
                        <w:tcW w:w="1666" w:type="dxa"/>
                      </w:tcPr>
                      <w:p>
                        <w:pPr>
                          <w:pStyle w:val="TableParagraph"/>
                          <w:spacing w:line="256" w:lineRule="exact"/>
                          <w:ind w:left="168" w:right="162"/>
                          <w:jc w:val="center"/>
                          <w:rPr>
                            <w:sz w:val="24"/>
                          </w:rPr>
                        </w:pPr>
                        <w:r>
                          <w:rPr>
                            <w:sz w:val="24"/>
                          </w:rPr>
                          <w:t>2022-23</w:t>
                        </w:r>
                      </w:p>
                    </w:tc>
                    <w:tc>
                      <w:tcPr>
                        <w:tcW w:w="2410" w:type="dxa"/>
                      </w:tcPr>
                      <w:p>
                        <w:pPr>
                          <w:pStyle w:val="TableParagraph"/>
                          <w:spacing w:line="256" w:lineRule="exact"/>
                          <w:ind w:left="391" w:right="383"/>
                          <w:jc w:val="center"/>
                          <w:rPr>
                            <w:sz w:val="24"/>
                          </w:rPr>
                        </w:pPr>
                        <w:r>
                          <w:rPr>
                            <w:sz w:val="24"/>
                          </w:rPr>
                          <w:t>155</w:t>
                        </w:r>
                      </w:p>
                    </w:tc>
                  </w:tr>
                </w:tbl>
                <w:p>
                  <w:pPr>
                    <w:pStyle w:val="BodyText"/>
                  </w:pPr>
                </w:p>
              </w:txbxContent>
            </v:textbox>
            <w10:wrap type="none"/>
          </v:shape>
        </w:pict>
      </w:r>
      <w:r>
        <w:rPr/>
        <w:pict>
          <v:shape style="position:absolute;margin-left:502.321014pt;margin-top:159.240997pt;width:204.5pt;height:57.75pt;mso-position-horizontal-relative:page;mso-position-vertical-relative:page;z-index:112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6"/>
                    <w:gridCol w:w="2410"/>
                  </w:tblGrid>
                  <w:tr>
                    <w:trPr>
                      <w:trHeight w:val="277" w:hRule="atLeast"/>
                    </w:trPr>
                    <w:tc>
                      <w:tcPr>
                        <w:tcW w:w="1666" w:type="dxa"/>
                      </w:tcPr>
                      <w:p>
                        <w:pPr>
                          <w:pStyle w:val="TableParagraph"/>
                          <w:spacing w:line="258" w:lineRule="exact"/>
                          <w:ind w:left="166" w:right="166"/>
                          <w:jc w:val="center"/>
                          <w:rPr>
                            <w:sz w:val="24"/>
                          </w:rPr>
                        </w:pPr>
                        <w:r>
                          <w:rPr>
                            <w:sz w:val="24"/>
                          </w:rPr>
                          <w:t>Year of ITT*</w:t>
                        </w:r>
                      </w:p>
                    </w:tc>
                    <w:tc>
                      <w:tcPr>
                        <w:tcW w:w="2410" w:type="dxa"/>
                      </w:tcPr>
                      <w:p>
                        <w:pPr>
                          <w:pStyle w:val="TableParagraph"/>
                          <w:spacing w:line="258" w:lineRule="exact"/>
                          <w:ind w:left="389" w:right="386"/>
                          <w:jc w:val="center"/>
                          <w:rPr>
                            <w:sz w:val="24"/>
                          </w:rPr>
                        </w:pPr>
                        <w:r>
                          <w:rPr>
                            <w:sz w:val="24"/>
                          </w:rPr>
                          <w:t>Efficacy (lm/W)</w:t>
                        </w:r>
                      </w:p>
                    </w:tc>
                  </w:tr>
                  <w:tr>
                    <w:trPr>
                      <w:trHeight w:val="275" w:hRule="atLeast"/>
                    </w:trPr>
                    <w:tc>
                      <w:tcPr>
                        <w:tcW w:w="1666" w:type="dxa"/>
                      </w:tcPr>
                      <w:p>
                        <w:pPr>
                          <w:pStyle w:val="TableParagraph"/>
                          <w:spacing w:line="256" w:lineRule="exact"/>
                          <w:ind w:left="168" w:right="166"/>
                          <w:jc w:val="center"/>
                          <w:rPr>
                            <w:sz w:val="24"/>
                          </w:rPr>
                        </w:pPr>
                        <w:r>
                          <w:rPr>
                            <w:sz w:val="24"/>
                          </w:rPr>
                          <w:t>2018-19</w:t>
                        </w:r>
                      </w:p>
                    </w:tc>
                    <w:tc>
                      <w:tcPr>
                        <w:tcW w:w="2410" w:type="dxa"/>
                      </w:tcPr>
                      <w:p>
                        <w:pPr>
                          <w:pStyle w:val="TableParagraph"/>
                          <w:spacing w:line="256" w:lineRule="exact"/>
                          <w:ind w:left="389" w:right="386"/>
                          <w:jc w:val="center"/>
                          <w:rPr>
                            <w:sz w:val="24"/>
                          </w:rPr>
                        </w:pPr>
                        <w:r>
                          <w:rPr>
                            <w:sz w:val="24"/>
                          </w:rPr>
                          <w:t>130</w:t>
                        </w:r>
                      </w:p>
                    </w:tc>
                  </w:tr>
                  <w:tr>
                    <w:trPr>
                      <w:trHeight w:val="275" w:hRule="atLeast"/>
                    </w:trPr>
                    <w:tc>
                      <w:tcPr>
                        <w:tcW w:w="1666" w:type="dxa"/>
                      </w:tcPr>
                      <w:p>
                        <w:pPr>
                          <w:pStyle w:val="TableParagraph"/>
                          <w:spacing w:line="256" w:lineRule="exact"/>
                          <w:ind w:left="168" w:right="166"/>
                          <w:jc w:val="center"/>
                          <w:rPr>
                            <w:sz w:val="24"/>
                          </w:rPr>
                        </w:pPr>
                        <w:r>
                          <w:rPr>
                            <w:sz w:val="24"/>
                          </w:rPr>
                          <w:t>2020-21</w:t>
                        </w:r>
                      </w:p>
                    </w:tc>
                    <w:tc>
                      <w:tcPr>
                        <w:tcW w:w="2410" w:type="dxa"/>
                      </w:tcPr>
                      <w:p>
                        <w:pPr>
                          <w:pStyle w:val="TableParagraph"/>
                          <w:spacing w:line="256" w:lineRule="exact"/>
                          <w:ind w:left="389" w:right="386"/>
                          <w:jc w:val="center"/>
                          <w:rPr>
                            <w:sz w:val="24"/>
                          </w:rPr>
                        </w:pPr>
                        <w:r>
                          <w:rPr>
                            <w:sz w:val="24"/>
                          </w:rPr>
                          <w:t>147</w:t>
                        </w:r>
                      </w:p>
                    </w:tc>
                  </w:tr>
                  <w:tr>
                    <w:trPr>
                      <w:trHeight w:val="275" w:hRule="atLeast"/>
                    </w:trPr>
                    <w:tc>
                      <w:tcPr>
                        <w:tcW w:w="1666" w:type="dxa"/>
                      </w:tcPr>
                      <w:p>
                        <w:pPr>
                          <w:pStyle w:val="TableParagraph"/>
                          <w:spacing w:line="256" w:lineRule="exact"/>
                          <w:ind w:left="168" w:right="166"/>
                          <w:jc w:val="center"/>
                          <w:rPr>
                            <w:sz w:val="24"/>
                          </w:rPr>
                        </w:pPr>
                        <w:r>
                          <w:rPr>
                            <w:sz w:val="24"/>
                          </w:rPr>
                          <w:t>2022-23</w:t>
                        </w:r>
                      </w:p>
                    </w:tc>
                    <w:tc>
                      <w:tcPr>
                        <w:tcW w:w="2410" w:type="dxa"/>
                      </w:tcPr>
                      <w:p>
                        <w:pPr>
                          <w:pStyle w:val="TableParagraph"/>
                          <w:spacing w:line="256" w:lineRule="exact"/>
                          <w:ind w:left="389" w:right="386"/>
                          <w:jc w:val="center"/>
                          <w:rPr>
                            <w:sz w:val="24"/>
                          </w:rPr>
                        </w:pPr>
                        <w:r>
                          <w:rPr>
                            <w:sz w:val="24"/>
                          </w:rPr>
                          <w:t>165</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9"/>
        <w:gridCol w:w="7166"/>
      </w:tblGrid>
      <w:tr>
        <w:trPr>
          <w:trHeight w:val="1484" w:hRule="atLeast"/>
        </w:trPr>
        <w:tc>
          <w:tcPr>
            <w:tcW w:w="7339" w:type="dxa"/>
            <w:tcBorders>
              <w:bottom w:val="nil"/>
            </w:tcBorders>
          </w:tcPr>
          <w:p>
            <w:pPr>
              <w:pStyle w:val="TableParagraph"/>
              <w:rPr>
                <w:sz w:val="24"/>
              </w:rPr>
            </w:pPr>
            <w:r>
              <w:rPr>
                <w:sz w:val="24"/>
              </w:rPr>
              <w:t>The lighting equipment to be installed shall have a luminaire efficacy higher than the relevant reference value stated below.</w:t>
            </w:r>
          </w:p>
        </w:tc>
        <w:tc>
          <w:tcPr>
            <w:tcW w:w="7166" w:type="dxa"/>
            <w:tcBorders>
              <w:bottom w:val="nil"/>
            </w:tcBorders>
          </w:tcPr>
          <w:p>
            <w:pPr>
              <w:pStyle w:val="TableParagraph"/>
              <w:rPr>
                <w:sz w:val="24"/>
              </w:rPr>
            </w:pPr>
            <w:r>
              <w:rPr>
                <w:sz w:val="24"/>
              </w:rPr>
              <w:t>The lighting equipment to be installed shall have a luminaire efficacy higher than the relevant reference value stated below.</w:t>
            </w:r>
          </w:p>
        </w:tc>
      </w:tr>
      <w:tr>
        <w:trPr>
          <w:trHeight w:val="1228" w:hRule="atLeast"/>
        </w:trPr>
        <w:tc>
          <w:tcPr>
            <w:tcW w:w="7339" w:type="dxa"/>
            <w:tcBorders>
              <w:top w:val="nil"/>
              <w:bottom w:val="nil"/>
            </w:tcBorders>
          </w:tcPr>
          <w:p>
            <w:pPr>
              <w:pStyle w:val="TableParagraph"/>
              <w:ind w:left="0"/>
              <w:rPr>
                <w:sz w:val="26"/>
              </w:rPr>
            </w:pPr>
          </w:p>
          <w:p>
            <w:pPr>
              <w:pStyle w:val="TableParagraph"/>
              <w:ind w:left="0"/>
              <w:rPr>
                <w:sz w:val="26"/>
              </w:rPr>
            </w:pPr>
          </w:p>
          <w:p>
            <w:pPr>
              <w:pStyle w:val="TableParagraph"/>
              <w:spacing w:before="11"/>
              <w:ind w:left="0"/>
              <w:rPr>
                <w:sz w:val="28"/>
              </w:rPr>
            </w:pPr>
          </w:p>
          <w:p>
            <w:pPr>
              <w:pStyle w:val="TableParagraph"/>
              <w:rPr>
                <w:b/>
                <w:sz w:val="24"/>
              </w:rPr>
            </w:pPr>
            <w:r>
              <w:rPr>
                <w:b/>
                <w:sz w:val="24"/>
              </w:rPr>
              <w:t>Verification:</w:t>
            </w:r>
          </w:p>
        </w:tc>
        <w:tc>
          <w:tcPr>
            <w:tcW w:w="7166" w:type="dxa"/>
            <w:tcBorders>
              <w:top w:val="nil"/>
              <w:bottom w:val="nil"/>
            </w:tcBorders>
          </w:tcPr>
          <w:p>
            <w:pPr>
              <w:pStyle w:val="TableParagraph"/>
              <w:ind w:left="0"/>
              <w:rPr>
                <w:sz w:val="26"/>
              </w:rPr>
            </w:pPr>
          </w:p>
          <w:p>
            <w:pPr>
              <w:pStyle w:val="TableParagraph"/>
              <w:ind w:left="0"/>
              <w:rPr>
                <w:sz w:val="26"/>
              </w:rPr>
            </w:pPr>
          </w:p>
          <w:p>
            <w:pPr>
              <w:pStyle w:val="TableParagraph"/>
              <w:spacing w:before="11"/>
              <w:ind w:left="0"/>
              <w:rPr>
                <w:sz w:val="28"/>
              </w:rPr>
            </w:pPr>
          </w:p>
          <w:p>
            <w:pPr>
              <w:pStyle w:val="TableParagraph"/>
              <w:rPr>
                <w:b/>
                <w:sz w:val="24"/>
              </w:rPr>
            </w:pPr>
            <w:r>
              <w:rPr>
                <w:b/>
                <w:sz w:val="24"/>
              </w:rPr>
              <w:t>Verification:</w:t>
            </w:r>
          </w:p>
        </w:tc>
      </w:tr>
      <w:tr>
        <w:trPr>
          <w:trHeight w:val="1851" w:hRule="atLeast"/>
        </w:trPr>
        <w:tc>
          <w:tcPr>
            <w:tcW w:w="7339" w:type="dxa"/>
            <w:tcBorders>
              <w:top w:val="nil"/>
              <w:bottom w:val="nil"/>
            </w:tcBorders>
          </w:tcPr>
          <w:p>
            <w:pPr>
              <w:pStyle w:val="TableParagraph"/>
              <w:spacing w:before="11"/>
              <w:ind w:right="93"/>
              <w:jc w:val="both"/>
              <w:rPr>
                <w:sz w:val="24"/>
              </w:rPr>
            </w:pPr>
            <w:r>
              <w:rPr>
                <w:sz w:val="24"/>
              </w:rPr>
              <w:t>The tenderer shall provide a standard photometric file that is compatible with common light planning software and that contains technical specifications on the light output and energy consumption of the luminaire, measured by using reliable, accurate, reproducible and state- of-the-art measurement methods. Methods shall respect relevant international standards, where available.</w:t>
            </w:r>
          </w:p>
        </w:tc>
        <w:tc>
          <w:tcPr>
            <w:tcW w:w="7166" w:type="dxa"/>
            <w:tcBorders>
              <w:top w:val="nil"/>
              <w:bottom w:val="nil"/>
            </w:tcBorders>
          </w:tcPr>
          <w:p>
            <w:pPr>
              <w:pStyle w:val="TableParagraph"/>
              <w:spacing w:before="11"/>
              <w:ind w:right="89"/>
              <w:jc w:val="both"/>
              <w:rPr>
                <w:sz w:val="24"/>
              </w:rPr>
            </w:pPr>
            <w:r>
              <w:rPr>
                <w:sz w:val="24"/>
              </w:rPr>
              <w:t>The tenderer shall provide a standard photometric file that is compatible with common light planning software and that contains technical specifications on the light output and energy consumption of the luminaire, measured by using reliable, accurate, reproducible and state- of-the-art measurement methods. Methods shall respect relevant international standards, where available.</w:t>
            </w:r>
          </w:p>
        </w:tc>
      </w:tr>
      <w:tr>
        <w:trPr>
          <w:trHeight w:val="2864" w:hRule="atLeast"/>
        </w:trPr>
        <w:tc>
          <w:tcPr>
            <w:tcW w:w="7339" w:type="dxa"/>
            <w:tcBorders>
              <w:top w:val="nil"/>
            </w:tcBorders>
          </w:tcPr>
          <w:p>
            <w:pPr>
              <w:pStyle w:val="TableParagraph"/>
              <w:spacing w:before="173"/>
              <w:ind w:right="92"/>
              <w:jc w:val="both"/>
              <w:rPr>
                <w:i/>
                <w:sz w:val="24"/>
              </w:rPr>
            </w:pPr>
            <w:r>
              <w:rPr>
                <w:i/>
                <w:sz w:val="24"/>
              </w:rPr>
              <w:t>*Due to the rapid technological developments in luminaire efficacy of </w:t>
            </w:r>
            <w:r>
              <w:rPr>
                <w:i/>
                <w:sz w:val="24"/>
              </w:rPr>
              <w:t>LED-based lighting, it is proposed that the reference values stipulated here for invitations to tender (ITTs) should increase over the next 6 years, to avoid them becoming obsolete before the EU GPP criteria are due for revision again.</w:t>
            </w:r>
          </w:p>
        </w:tc>
        <w:tc>
          <w:tcPr>
            <w:tcW w:w="7166" w:type="dxa"/>
            <w:tcBorders>
              <w:top w:val="nil"/>
            </w:tcBorders>
          </w:tcPr>
          <w:p>
            <w:pPr>
              <w:pStyle w:val="TableParagraph"/>
              <w:spacing w:before="173"/>
              <w:ind w:right="91"/>
              <w:jc w:val="both"/>
              <w:rPr>
                <w:i/>
                <w:sz w:val="24"/>
              </w:rPr>
            </w:pPr>
            <w:r>
              <w:rPr>
                <w:i/>
                <w:sz w:val="24"/>
              </w:rPr>
              <w:t>*Due to the rapid technological developments in luminaire efficacy of </w:t>
            </w:r>
            <w:r>
              <w:rPr>
                <w:i/>
                <w:sz w:val="24"/>
              </w:rPr>
              <w:t>LED-based lighting, it is proposed that the reference values stipulated here for invitations to tender (ITTs) should increase over the next 6 years, to avoid them becoming obsolete before the EU GPP criteria are due for revision again.</w:t>
            </w:r>
          </w:p>
        </w:tc>
      </w:tr>
    </w:tbl>
    <w:p>
      <w:pPr>
        <w:spacing w:after="0"/>
        <w:jc w:val="both"/>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9"/>
        <w:gridCol w:w="7166"/>
      </w:tblGrid>
      <w:tr>
        <w:trPr>
          <w:trHeight w:val="5092" w:hRule="atLeast"/>
        </w:trPr>
        <w:tc>
          <w:tcPr>
            <w:tcW w:w="14505" w:type="dxa"/>
            <w:gridSpan w:val="2"/>
          </w:tcPr>
          <w:p>
            <w:pPr>
              <w:pStyle w:val="TableParagraph"/>
              <w:spacing w:before="56"/>
              <w:rPr>
                <w:b/>
                <w:sz w:val="24"/>
              </w:rPr>
            </w:pPr>
            <w:r>
              <w:rPr>
                <w:b/>
                <w:sz w:val="24"/>
              </w:rPr>
              <w:t>TS2. Dimming control compatibility</w:t>
            </w:r>
          </w:p>
          <w:p>
            <w:pPr>
              <w:pStyle w:val="TableParagraph"/>
              <w:spacing w:before="60"/>
              <w:rPr>
                <w:b/>
                <w:i/>
                <w:sz w:val="24"/>
              </w:rPr>
            </w:pPr>
            <w:r>
              <w:rPr>
                <w:b/>
                <w:i/>
                <w:sz w:val="24"/>
              </w:rPr>
              <w:t>(Applicable to all calls for tender.)</w:t>
            </w:r>
          </w:p>
          <w:p>
            <w:pPr>
              <w:pStyle w:val="TableParagraph"/>
              <w:spacing w:before="55"/>
              <w:rPr>
                <w:i/>
                <w:sz w:val="24"/>
              </w:rPr>
            </w:pPr>
            <w:r>
              <w:rPr>
                <w:i/>
                <w:sz w:val="24"/>
              </w:rPr>
              <w:t>(Same for core and comprehensive criteria.)</w:t>
            </w:r>
          </w:p>
          <w:p>
            <w:pPr>
              <w:pStyle w:val="TableParagraph"/>
              <w:ind w:left="0"/>
              <w:rPr>
                <w:sz w:val="26"/>
              </w:rPr>
            </w:pPr>
          </w:p>
          <w:p>
            <w:pPr>
              <w:pStyle w:val="TableParagraph"/>
              <w:spacing w:before="158"/>
              <w:rPr>
                <w:sz w:val="24"/>
              </w:rPr>
            </w:pPr>
            <w:r>
              <w:rPr>
                <w:sz w:val="24"/>
              </w:rPr>
              <w:t>The lighting installation shall be compatible with dimming controls and allow for programmed switch-off during periods of low night-time road use intensity.</w:t>
            </w:r>
          </w:p>
          <w:p>
            <w:pPr>
              <w:pStyle w:val="TableParagraph"/>
              <w:spacing w:before="9"/>
              <w:ind w:left="0"/>
              <w:rPr>
                <w:sz w:val="34"/>
              </w:rPr>
            </w:pPr>
          </w:p>
          <w:p>
            <w:pPr>
              <w:pStyle w:val="TableParagraph"/>
              <w:rPr>
                <w:b/>
                <w:sz w:val="24"/>
              </w:rPr>
            </w:pPr>
            <w:r>
              <w:rPr>
                <w:b/>
                <w:sz w:val="24"/>
              </w:rPr>
              <w:t>Verification:</w:t>
            </w:r>
          </w:p>
          <w:p>
            <w:pPr>
              <w:pStyle w:val="TableParagraph"/>
              <w:spacing w:before="56"/>
              <w:rPr>
                <w:sz w:val="24"/>
              </w:rPr>
            </w:pPr>
            <w:r>
              <w:rPr>
                <w:sz w:val="24"/>
              </w:rPr>
              <w:t>The tenderer shall explain how the proposed lighting installation is compatible with programmed dimming and switch-off. This explanation should include any relevant documentation from the manufacturer(s) of the light sources and luminaires proposed for use by the tenderer.</w:t>
            </w:r>
          </w:p>
          <w:p>
            <w:pPr>
              <w:pStyle w:val="TableParagraph"/>
              <w:spacing w:line="292" w:lineRule="auto" w:before="60"/>
              <w:ind w:right="416"/>
              <w:rPr>
                <w:sz w:val="24"/>
              </w:rPr>
            </w:pPr>
            <w:r>
              <w:rPr>
                <w:sz w:val="24"/>
              </w:rPr>
              <w:t>In cases where controls are not integrated into the luminaire, the documentation should state what control interfaces can be used for dimming. The documentation shall also state what dimming methods are compatible, for example:</w:t>
            </w:r>
          </w:p>
          <w:p>
            <w:pPr>
              <w:pStyle w:val="TableParagraph"/>
              <w:numPr>
                <w:ilvl w:val="0"/>
                <w:numId w:val="21"/>
              </w:numPr>
              <w:tabs>
                <w:tab w:pos="831" w:val="left" w:leader="none"/>
              </w:tabs>
              <w:spacing w:line="240" w:lineRule="auto" w:before="18" w:after="0"/>
              <w:ind w:left="830" w:right="0" w:hanging="360"/>
              <w:jc w:val="left"/>
              <w:rPr>
                <w:sz w:val="24"/>
              </w:rPr>
            </w:pPr>
            <w:r>
              <w:rPr>
                <w:sz w:val="24"/>
              </w:rPr>
              <w:t>dimming based on pre-set period of expected low night-time road use</w:t>
            </w:r>
            <w:r>
              <w:rPr>
                <w:spacing w:val="-5"/>
                <w:sz w:val="24"/>
              </w:rPr>
              <w:t> </w:t>
            </w:r>
            <w:r>
              <w:rPr>
                <w:sz w:val="24"/>
              </w:rPr>
              <w:t>intensity,</w:t>
            </w:r>
          </w:p>
          <w:p>
            <w:pPr>
              <w:pStyle w:val="TableParagraph"/>
              <w:numPr>
                <w:ilvl w:val="0"/>
                <w:numId w:val="21"/>
              </w:numPr>
              <w:tabs>
                <w:tab w:pos="831" w:val="left" w:leader="none"/>
              </w:tabs>
              <w:spacing w:line="240" w:lineRule="auto" w:before="56" w:after="0"/>
              <w:ind w:left="830" w:right="0" w:hanging="360"/>
              <w:jc w:val="left"/>
              <w:rPr>
                <w:sz w:val="24"/>
              </w:rPr>
            </w:pPr>
            <w:r>
              <w:rPr>
                <w:sz w:val="24"/>
              </w:rPr>
              <w:t>initial dimming of over-designed lighting installations to compensate for gradual decreases in lumen</w:t>
            </w:r>
            <w:r>
              <w:rPr>
                <w:spacing w:val="-9"/>
                <w:sz w:val="24"/>
              </w:rPr>
              <w:t> </w:t>
            </w:r>
            <w:r>
              <w:rPr>
                <w:sz w:val="24"/>
              </w:rPr>
              <w:t>output,</w:t>
            </w:r>
          </w:p>
          <w:p>
            <w:pPr>
              <w:pStyle w:val="TableParagraph"/>
              <w:numPr>
                <w:ilvl w:val="0"/>
                <w:numId w:val="21"/>
              </w:numPr>
              <w:tabs>
                <w:tab w:pos="831" w:val="left" w:leader="none"/>
              </w:tabs>
              <w:spacing w:line="240" w:lineRule="auto" w:before="57" w:after="0"/>
              <w:ind w:left="830" w:right="0" w:hanging="360"/>
              <w:jc w:val="left"/>
              <w:rPr>
                <w:sz w:val="24"/>
              </w:rPr>
            </w:pPr>
            <w:r>
              <w:rPr>
                <w:sz w:val="24"/>
              </w:rPr>
              <w:t>variable dimming to maintain a target illuminance in variable weather</w:t>
            </w:r>
            <w:r>
              <w:rPr>
                <w:spacing w:val="-5"/>
                <w:sz w:val="24"/>
              </w:rPr>
              <w:t> </w:t>
            </w:r>
            <w:r>
              <w:rPr>
                <w:sz w:val="24"/>
              </w:rPr>
              <w:t>conditions.</w:t>
            </w:r>
          </w:p>
        </w:tc>
      </w:tr>
      <w:tr>
        <w:trPr>
          <w:trHeight w:val="2507" w:hRule="atLeast"/>
        </w:trPr>
        <w:tc>
          <w:tcPr>
            <w:tcW w:w="7339" w:type="dxa"/>
          </w:tcPr>
          <w:p>
            <w:pPr>
              <w:pStyle w:val="TableParagraph"/>
              <w:spacing w:before="56"/>
              <w:rPr>
                <w:b/>
                <w:sz w:val="24"/>
              </w:rPr>
            </w:pPr>
            <w:r>
              <w:rPr>
                <w:b/>
                <w:sz w:val="24"/>
              </w:rPr>
              <w:t>TS3. Minimum dimming performance</w:t>
            </w:r>
          </w:p>
          <w:p>
            <w:pPr>
              <w:pStyle w:val="TableParagraph"/>
              <w:spacing w:before="60"/>
              <w:ind w:right="90"/>
              <w:jc w:val="both"/>
              <w:rPr>
                <w:b/>
                <w:i/>
                <w:sz w:val="24"/>
              </w:rPr>
            </w:pPr>
            <w:r>
              <w:rPr>
                <w:b/>
                <w:i/>
                <w:sz w:val="24"/>
              </w:rPr>
              <w:t>(Applicable to all calls for tender, unless it is clear that dimming </w:t>
            </w:r>
            <w:r>
              <w:rPr>
                <w:b/>
                <w:i/>
                <w:sz w:val="24"/>
              </w:rPr>
              <w:t>controls would lead to a higher total cost of ownership. Procurers should clearly define the desired dimming performance in the ITT.)</w:t>
            </w:r>
          </w:p>
          <w:p>
            <w:pPr>
              <w:pStyle w:val="TableParagraph"/>
              <w:ind w:left="0"/>
              <w:rPr>
                <w:sz w:val="34"/>
              </w:rPr>
            </w:pPr>
          </w:p>
          <w:p>
            <w:pPr>
              <w:pStyle w:val="TableParagraph"/>
              <w:spacing w:before="1"/>
              <w:ind w:right="93"/>
              <w:jc w:val="both"/>
              <w:rPr>
                <w:sz w:val="24"/>
              </w:rPr>
            </w:pPr>
            <w:r>
              <w:rPr>
                <w:sz w:val="24"/>
              </w:rPr>
              <w:t>All light sources and luminaires shall be installed with fully functional dimming controls that are programmable to set at least one pre-set level of dimming down to at least 50 % of maximum light</w:t>
            </w:r>
            <w:r>
              <w:rPr>
                <w:spacing w:val="-5"/>
                <w:sz w:val="24"/>
              </w:rPr>
              <w:t> </w:t>
            </w:r>
            <w:r>
              <w:rPr>
                <w:sz w:val="24"/>
              </w:rPr>
              <w:t>output.</w:t>
            </w:r>
          </w:p>
        </w:tc>
        <w:tc>
          <w:tcPr>
            <w:tcW w:w="7166" w:type="dxa"/>
          </w:tcPr>
          <w:p>
            <w:pPr>
              <w:pStyle w:val="TableParagraph"/>
              <w:spacing w:before="56"/>
              <w:rPr>
                <w:b/>
                <w:sz w:val="24"/>
              </w:rPr>
            </w:pPr>
            <w:r>
              <w:rPr>
                <w:b/>
                <w:sz w:val="24"/>
              </w:rPr>
              <w:t>TS3. Minimum dimming performance</w:t>
            </w:r>
          </w:p>
          <w:p>
            <w:pPr>
              <w:pStyle w:val="TableParagraph"/>
              <w:spacing w:before="60"/>
              <w:ind w:right="89"/>
              <w:jc w:val="both"/>
              <w:rPr>
                <w:b/>
                <w:i/>
                <w:sz w:val="24"/>
              </w:rPr>
            </w:pPr>
            <w:r>
              <w:rPr>
                <w:b/>
                <w:i/>
                <w:sz w:val="24"/>
              </w:rPr>
              <w:t>(Applicable to all calls for tender, unless it is clear that dimming </w:t>
            </w:r>
            <w:r>
              <w:rPr>
                <w:b/>
                <w:i/>
                <w:sz w:val="24"/>
              </w:rPr>
              <w:t>controls would lead to a higher total cost of ownership. Procurers should clearly define the desired dimming performance in the ITT.)</w:t>
            </w:r>
          </w:p>
          <w:p>
            <w:pPr>
              <w:pStyle w:val="TableParagraph"/>
              <w:ind w:left="0"/>
              <w:rPr>
                <w:sz w:val="34"/>
              </w:rPr>
            </w:pPr>
          </w:p>
          <w:p>
            <w:pPr>
              <w:pStyle w:val="TableParagraph"/>
              <w:spacing w:before="1"/>
              <w:ind w:right="92"/>
              <w:jc w:val="both"/>
              <w:rPr>
                <w:sz w:val="24"/>
              </w:rPr>
            </w:pPr>
            <w:r>
              <w:rPr>
                <w:sz w:val="24"/>
              </w:rPr>
              <w:t>All light sources and luminaires shall be installed with fully functional dimming controls that are programmable to set at least two pre-set levels of dimming, down to at least 10 % of maximum light</w:t>
            </w:r>
            <w:r>
              <w:rPr>
                <w:spacing w:val="-4"/>
                <w:sz w:val="24"/>
              </w:rPr>
              <w:t> </w:t>
            </w:r>
            <w:r>
              <w:rPr>
                <w:sz w:val="24"/>
              </w:rPr>
              <w:t>output.</w:t>
            </w:r>
          </w:p>
        </w:tc>
      </w:tr>
    </w:tbl>
    <w:p>
      <w:pPr>
        <w:spacing w:after="0"/>
        <w:jc w:val="both"/>
        <w:rPr>
          <w:sz w:val="24"/>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9"/>
        <w:gridCol w:w="7166"/>
      </w:tblGrid>
      <w:tr>
        <w:trPr>
          <w:trHeight w:val="641" w:hRule="atLeast"/>
        </w:trPr>
        <w:tc>
          <w:tcPr>
            <w:tcW w:w="7339" w:type="dxa"/>
            <w:tcBorders>
              <w:bottom w:val="nil"/>
            </w:tcBorders>
          </w:tcPr>
          <w:p>
            <w:pPr>
              <w:pStyle w:val="TableParagraph"/>
              <w:spacing w:before="10"/>
              <w:ind w:left="0"/>
              <w:rPr>
                <w:sz w:val="28"/>
              </w:rPr>
            </w:pPr>
          </w:p>
          <w:p>
            <w:pPr>
              <w:pStyle w:val="TableParagraph"/>
              <w:rPr>
                <w:b/>
                <w:sz w:val="24"/>
              </w:rPr>
            </w:pPr>
            <w:r>
              <w:rPr>
                <w:b/>
                <w:sz w:val="24"/>
              </w:rPr>
              <w:t>Verification:</w:t>
            </w:r>
          </w:p>
        </w:tc>
        <w:tc>
          <w:tcPr>
            <w:tcW w:w="7166" w:type="dxa"/>
            <w:tcBorders>
              <w:bottom w:val="nil"/>
            </w:tcBorders>
          </w:tcPr>
          <w:p>
            <w:pPr>
              <w:pStyle w:val="TableParagraph"/>
              <w:spacing w:before="10"/>
              <w:ind w:left="0"/>
              <w:rPr>
                <w:sz w:val="28"/>
              </w:rPr>
            </w:pPr>
          </w:p>
          <w:p>
            <w:pPr>
              <w:pStyle w:val="TableParagraph"/>
              <w:rPr>
                <w:b/>
                <w:sz w:val="24"/>
              </w:rPr>
            </w:pPr>
            <w:r>
              <w:rPr>
                <w:b/>
                <w:sz w:val="24"/>
              </w:rPr>
              <w:t>Verification:</w:t>
            </w:r>
          </w:p>
        </w:tc>
      </w:tr>
      <w:tr>
        <w:trPr>
          <w:trHeight w:val="885" w:hRule="atLeast"/>
        </w:trPr>
        <w:tc>
          <w:tcPr>
            <w:tcW w:w="7339" w:type="dxa"/>
            <w:tcBorders>
              <w:top w:val="nil"/>
              <w:bottom w:val="nil"/>
            </w:tcBorders>
          </w:tcPr>
          <w:p>
            <w:pPr>
              <w:pStyle w:val="TableParagraph"/>
              <w:spacing w:before="22"/>
              <w:ind w:right="96"/>
              <w:jc w:val="both"/>
              <w:rPr>
                <w:sz w:val="24"/>
              </w:rPr>
            </w:pPr>
            <w:r>
              <w:rPr>
                <w:sz w:val="24"/>
              </w:rPr>
              <w:t>The tenderer shall provide documentation from the manufacturer(s) of the light sources and luminaires that are proposed for use by the tenderer, showing that they are compatible with dimming controls.</w:t>
            </w:r>
          </w:p>
        </w:tc>
        <w:tc>
          <w:tcPr>
            <w:tcW w:w="7166" w:type="dxa"/>
            <w:tcBorders>
              <w:top w:val="nil"/>
              <w:bottom w:val="nil"/>
            </w:tcBorders>
          </w:tcPr>
          <w:p>
            <w:pPr>
              <w:pStyle w:val="TableParagraph"/>
              <w:spacing w:before="22"/>
              <w:ind w:right="94"/>
              <w:jc w:val="both"/>
              <w:rPr>
                <w:sz w:val="24"/>
              </w:rPr>
            </w:pPr>
            <w:r>
              <w:rPr>
                <w:sz w:val="24"/>
              </w:rPr>
              <w:t>The tenderer shall provide documentation from the manufacturer(s) of the light sources and luminaires that are proposed for use by the tenderer, showing that they are compatible with dimming controls.</w:t>
            </w:r>
          </w:p>
        </w:tc>
      </w:tr>
      <w:tr>
        <w:trPr>
          <w:trHeight w:val="621" w:hRule="atLeast"/>
        </w:trPr>
        <w:tc>
          <w:tcPr>
            <w:tcW w:w="7339" w:type="dxa"/>
            <w:tcBorders>
              <w:top w:val="nil"/>
              <w:bottom w:val="nil"/>
            </w:tcBorders>
          </w:tcPr>
          <w:p>
            <w:pPr>
              <w:pStyle w:val="TableParagraph"/>
              <w:tabs>
                <w:tab w:pos="689" w:val="left" w:leader="none"/>
                <w:tab w:pos="2321" w:val="left" w:leader="none"/>
                <w:tab w:pos="2981" w:val="left" w:leader="none"/>
                <w:tab w:pos="3574" w:val="left" w:leader="none"/>
                <w:tab w:pos="4219" w:val="left" w:leader="none"/>
                <w:tab w:pos="4889" w:val="left" w:leader="none"/>
                <w:tab w:pos="5962" w:val="left" w:leader="none"/>
                <w:tab w:pos="6942" w:val="left" w:leader="none"/>
              </w:tabs>
              <w:spacing w:before="25"/>
              <w:ind w:right="93"/>
              <w:rPr>
                <w:sz w:val="24"/>
              </w:rPr>
            </w:pPr>
            <w:r>
              <w:rPr>
                <w:sz w:val="24"/>
              </w:rPr>
              <w:t>The</w:t>
              <w:tab/>
              <w:t>documentation</w:t>
              <w:tab/>
              <w:t>shall</w:t>
              <w:tab/>
              <w:t>also</w:t>
              <w:tab/>
              <w:t>state</w:t>
              <w:tab/>
              <w:t>what</w:t>
              <w:tab/>
              <w:t>dimming</w:t>
              <w:tab/>
              <w:t>controls</w:t>
              <w:tab/>
              <w:t>are incorporated, for</w:t>
            </w:r>
            <w:r>
              <w:rPr>
                <w:spacing w:val="-1"/>
                <w:sz w:val="24"/>
              </w:rPr>
              <w:t> </w:t>
            </w:r>
            <w:r>
              <w:rPr>
                <w:sz w:val="24"/>
              </w:rPr>
              <w:t>example:</w:t>
            </w:r>
          </w:p>
        </w:tc>
        <w:tc>
          <w:tcPr>
            <w:tcW w:w="7166" w:type="dxa"/>
            <w:tcBorders>
              <w:top w:val="nil"/>
              <w:bottom w:val="nil"/>
            </w:tcBorders>
          </w:tcPr>
          <w:p>
            <w:pPr>
              <w:pStyle w:val="TableParagraph"/>
              <w:spacing w:before="25"/>
              <w:rPr>
                <w:sz w:val="24"/>
              </w:rPr>
            </w:pPr>
            <w:r>
              <w:rPr>
                <w:sz w:val="24"/>
              </w:rPr>
              <w:t>The documentation shall also state what dimming controls are incorporated, for example:</w:t>
            </w:r>
          </w:p>
        </w:tc>
      </w:tr>
      <w:tr>
        <w:trPr>
          <w:trHeight w:val="357" w:hRule="atLeast"/>
        </w:trPr>
        <w:tc>
          <w:tcPr>
            <w:tcW w:w="7339" w:type="dxa"/>
            <w:tcBorders>
              <w:top w:val="nil"/>
              <w:bottom w:val="nil"/>
            </w:tcBorders>
          </w:tcPr>
          <w:p>
            <w:pPr>
              <w:pStyle w:val="TableParagraph"/>
              <w:numPr>
                <w:ilvl w:val="0"/>
                <w:numId w:val="22"/>
              </w:numPr>
              <w:tabs>
                <w:tab w:pos="831" w:val="left" w:leader="none"/>
              </w:tabs>
              <w:spacing w:line="240" w:lineRule="auto" w:before="34" w:after="0"/>
              <w:ind w:left="830" w:right="0" w:hanging="360"/>
              <w:jc w:val="left"/>
              <w:rPr>
                <w:sz w:val="24"/>
              </w:rPr>
            </w:pPr>
            <w:r>
              <w:rPr>
                <w:sz w:val="24"/>
              </w:rPr>
              <w:t>pre-set dimming,</w:t>
            </w:r>
            <w:r>
              <w:rPr>
                <w:spacing w:val="-1"/>
                <w:sz w:val="24"/>
              </w:rPr>
              <w:t> </w:t>
            </w:r>
            <w:r>
              <w:rPr>
                <w:sz w:val="24"/>
              </w:rPr>
              <w:t>or</w:t>
            </w:r>
          </w:p>
        </w:tc>
        <w:tc>
          <w:tcPr>
            <w:tcW w:w="7166" w:type="dxa"/>
            <w:tcBorders>
              <w:top w:val="nil"/>
              <w:bottom w:val="nil"/>
            </w:tcBorders>
          </w:tcPr>
          <w:p>
            <w:pPr>
              <w:pStyle w:val="TableParagraph"/>
              <w:numPr>
                <w:ilvl w:val="0"/>
                <w:numId w:val="23"/>
              </w:numPr>
              <w:tabs>
                <w:tab w:pos="831" w:val="left" w:leader="none"/>
              </w:tabs>
              <w:spacing w:line="240" w:lineRule="auto" w:before="34" w:after="0"/>
              <w:ind w:left="830" w:right="0" w:hanging="360"/>
              <w:jc w:val="left"/>
              <w:rPr>
                <w:sz w:val="24"/>
              </w:rPr>
            </w:pPr>
            <w:r>
              <w:rPr>
                <w:sz w:val="24"/>
              </w:rPr>
              <w:t>pre-set dimming,</w:t>
            </w:r>
            <w:r>
              <w:rPr>
                <w:spacing w:val="-1"/>
                <w:sz w:val="24"/>
              </w:rPr>
              <w:t> </w:t>
            </w:r>
            <w:r>
              <w:rPr>
                <w:sz w:val="24"/>
              </w:rPr>
              <w:t>or</w:t>
            </w:r>
          </w:p>
        </w:tc>
      </w:tr>
      <w:tr>
        <w:trPr>
          <w:trHeight w:val="1791" w:hRule="atLeast"/>
        </w:trPr>
        <w:tc>
          <w:tcPr>
            <w:tcW w:w="7339" w:type="dxa"/>
            <w:tcBorders>
              <w:top w:val="nil"/>
            </w:tcBorders>
          </w:tcPr>
          <w:p>
            <w:pPr>
              <w:pStyle w:val="TableParagraph"/>
              <w:numPr>
                <w:ilvl w:val="0"/>
                <w:numId w:val="24"/>
              </w:numPr>
              <w:tabs>
                <w:tab w:pos="831" w:val="left" w:leader="none"/>
              </w:tabs>
              <w:spacing w:line="247" w:lineRule="auto" w:before="29" w:after="0"/>
              <w:ind w:left="110" w:right="95" w:firstLine="360"/>
              <w:jc w:val="left"/>
              <w:rPr>
                <w:sz w:val="24"/>
              </w:rPr>
            </w:pPr>
            <w:r>
              <w:rPr>
                <w:sz w:val="24"/>
              </w:rPr>
              <w:t>variable dimming based on weather conditions or traffic volume. The documentation shall also clearly provide a power curve of light output versus power consumption, state the maximum dimming possible and provide instructions about how to programme and re-programme the controls.</w:t>
            </w:r>
          </w:p>
        </w:tc>
        <w:tc>
          <w:tcPr>
            <w:tcW w:w="7166" w:type="dxa"/>
            <w:tcBorders>
              <w:top w:val="nil"/>
            </w:tcBorders>
          </w:tcPr>
          <w:p>
            <w:pPr>
              <w:pStyle w:val="TableParagraph"/>
              <w:numPr>
                <w:ilvl w:val="0"/>
                <w:numId w:val="25"/>
              </w:numPr>
              <w:tabs>
                <w:tab w:pos="831" w:val="left" w:leader="none"/>
              </w:tabs>
              <w:spacing w:line="220" w:lineRule="auto" w:before="45" w:after="0"/>
              <w:ind w:left="830" w:right="91" w:hanging="360"/>
              <w:jc w:val="left"/>
              <w:rPr>
                <w:sz w:val="24"/>
              </w:rPr>
            </w:pPr>
            <w:r>
              <w:rPr>
                <w:sz w:val="24"/>
              </w:rPr>
              <w:t>variable dimming based on weather conditions or  traffic volume.</w:t>
            </w:r>
          </w:p>
          <w:p>
            <w:pPr>
              <w:pStyle w:val="TableParagraph"/>
              <w:spacing w:before="66"/>
              <w:ind w:right="89"/>
              <w:jc w:val="both"/>
              <w:rPr>
                <w:sz w:val="24"/>
              </w:rPr>
            </w:pPr>
            <w:r>
              <w:rPr>
                <w:sz w:val="24"/>
              </w:rPr>
              <w:t>The documentation shall also clearly provide a power curve of light output versus power consumption, state the maximum</w:t>
            </w:r>
            <w:r>
              <w:rPr>
                <w:spacing w:val="44"/>
                <w:sz w:val="24"/>
              </w:rPr>
              <w:t> </w:t>
            </w:r>
            <w:r>
              <w:rPr>
                <w:sz w:val="24"/>
              </w:rPr>
              <w:t>dimming possible and provide instructions about how to programme and re- programme the controls.</w:t>
            </w:r>
          </w:p>
        </w:tc>
      </w:tr>
      <w:tr>
        <w:trPr>
          <w:trHeight w:val="3081" w:hRule="atLeast"/>
        </w:trPr>
        <w:tc>
          <w:tcPr>
            <w:tcW w:w="14505" w:type="dxa"/>
            <w:gridSpan w:val="2"/>
          </w:tcPr>
          <w:p>
            <w:pPr>
              <w:pStyle w:val="TableParagraph"/>
              <w:spacing w:before="37"/>
              <w:rPr>
                <w:b/>
                <w:sz w:val="24"/>
              </w:rPr>
            </w:pPr>
            <w:r>
              <w:rPr>
                <w:b/>
                <w:sz w:val="24"/>
              </w:rPr>
              <w:t>TS4. Annual Energy Consumption Indicator (AECI)</w:t>
            </w:r>
          </w:p>
          <w:p>
            <w:pPr>
              <w:pStyle w:val="TableParagraph"/>
              <w:spacing w:before="41"/>
              <w:ind w:right="90"/>
              <w:jc w:val="both"/>
              <w:rPr>
                <w:b/>
                <w:i/>
                <w:sz w:val="24"/>
              </w:rPr>
            </w:pPr>
            <w:r>
              <w:rPr>
                <w:b/>
                <w:i/>
                <w:sz w:val="24"/>
              </w:rPr>
              <w:t>(Applicable when a new lighting installation is being designed or when a redesign is required due to the refurbishment of an existing lighting </w:t>
            </w:r>
            <w:r>
              <w:rPr>
                <w:b/>
                <w:i/>
                <w:sz w:val="24"/>
              </w:rPr>
              <w:t>installation or the retrofitting of new luminaires. Procurers should pay particular attention to the numbers submitted for the maintenance factor and utilance from the designer/tenderer and make sure that they are realistic and justifiable.)</w:t>
            </w:r>
          </w:p>
          <w:p>
            <w:pPr>
              <w:pStyle w:val="TableParagraph"/>
              <w:spacing w:before="34"/>
              <w:rPr>
                <w:i/>
                <w:sz w:val="24"/>
              </w:rPr>
            </w:pPr>
            <w:r>
              <w:rPr>
                <w:i/>
                <w:sz w:val="24"/>
              </w:rPr>
              <w:t>(Same for core and comprehensive criteria, although PDI reference values are higher for comprehensive level approach – see Technical Annex I.)</w:t>
            </w:r>
          </w:p>
          <w:p>
            <w:pPr>
              <w:pStyle w:val="TableParagraph"/>
              <w:spacing w:before="10"/>
              <w:ind w:left="0"/>
              <w:rPr>
                <w:sz w:val="30"/>
              </w:rPr>
            </w:pPr>
          </w:p>
          <w:p>
            <w:pPr>
              <w:pStyle w:val="TableParagraph"/>
              <w:rPr>
                <w:sz w:val="24"/>
              </w:rPr>
            </w:pPr>
            <w:r>
              <w:rPr>
                <w:sz w:val="24"/>
              </w:rPr>
              <w:t>The procurer shall provide technical drawings of the road layout, together with the areas to be lit and the illuminance/luminance requirements.</w:t>
            </w:r>
          </w:p>
          <w:p>
            <w:pPr>
              <w:pStyle w:val="TableParagraph"/>
              <w:spacing w:before="41"/>
              <w:ind w:right="416"/>
              <w:rPr>
                <w:sz w:val="24"/>
              </w:rPr>
            </w:pPr>
            <w:r>
              <w:rPr>
                <w:sz w:val="24"/>
              </w:rPr>
              <w:t>For M-class roads, the procurer shall define the surface reflectivity coefficient of the road, which tenderers should use in their luminance calculations.</w:t>
            </w:r>
          </w:p>
          <w:p>
            <w:pPr>
              <w:pStyle w:val="TableParagraph"/>
              <w:spacing w:before="40"/>
              <w:rPr>
                <w:sz w:val="24"/>
              </w:rPr>
            </w:pPr>
            <w:r>
              <w:rPr>
                <w:sz w:val="24"/>
              </w:rPr>
              <w:t>To aid tenderers in their assumptions for design maintenance factors, the procurer should define with what frequency the luminaires will be cleaned.</w:t>
            </w:r>
          </w:p>
        </w:tc>
      </w:tr>
    </w:tbl>
    <w:p>
      <w:pPr>
        <w:spacing w:after="0"/>
        <w:rPr>
          <w:sz w:val="24"/>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9"/>
        <w:gridCol w:w="7166"/>
      </w:tblGrid>
      <w:tr>
        <w:trPr>
          <w:trHeight w:val="5567" w:hRule="atLeast"/>
        </w:trPr>
        <w:tc>
          <w:tcPr>
            <w:tcW w:w="14505" w:type="dxa"/>
            <w:gridSpan w:val="2"/>
          </w:tcPr>
          <w:p>
            <w:pPr>
              <w:pStyle w:val="TableParagraph"/>
              <w:spacing w:line="268" w:lineRule="exact"/>
              <w:rPr>
                <w:sz w:val="24"/>
              </w:rPr>
            </w:pPr>
            <w:r>
              <w:rPr>
                <w:sz w:val="24"/>
              </w:rPr>
              <w:t>For the average maintained illuminance/luminance defined by the procurer, the AECI of the design shall comply with the equation below:</w:t>
            </w:r>
          </w:p>
          <w:p>
            <w:pPr>
              <w:pStyle w:val="TableParagraph"/>
              <w:spacing w:before="10"/>
              <w:ind w:left="0"/>
              <w:rPr>
                <w:sz w:val="30"/>
              </w:rPr>
            </w:pPr>
          </w:p>
          <w:p>
            <w:pPr>
              <w:pStyle w:val="TableParagraph"/>
              <w:ind w:left="5266" w:right="5249"/>
              <w:jc w:val="center"/>
              <w:rPr>
                <w:sz w:val="24"/>
              </w:rPr>
            </w:pPr>
            <w:r>
              <w:rPr>
                <w:sz w:val="24"/>
              </w:rPr>
              <w:t>AECI</w:t>
            </w:r>
            <w:r>
              <w:rPr>
                <w:sz w:val="24"/>
                <w:vertAlign w:val="subscript"/>
              </w:rPr>
              <w:t>design</w:t>
            </w:r>
            <w:r>
              <w:rPr>
                <w:sz w:val="24"/>
                <w:vertAlign w:val="baseline"/>
              </w:rPr>
              <w:t> ≤ PDI</w:t>
            </w:r>
            <w:r>
              <w:rPr>
                <w:sz w:val="24"/>
                <w:vertAlign w:val="subscript"/>
              </w:rPr>
              <w:t>ref</w:t>
            </w:r>
            <w:r>
              <w:rPr>
                <w:sz w:val="24"/>
                <w:vertAlign w:val="baseline"/>
              </w:rPr>
              <w:t> x E</w:t>
            </w:r>
            <w:r>
              <w:rPr>
                <w:sz w:val="24"/>
                <w:vertAlign w:val="subscript"/>
              </w:rPr>
              <w:t>m</w:t>
            </w:r>
            <w:r>
              <w:rPr>
                <w:sz w:val="24"/>
                <w:vertAlign w:val="baseline"/>
              </w:rPr>
              <w:t> x F</w:t>
            </w:r>
            <w:r>
              <w:rPr>
                <w:sz w:val="24"/>
                <w:vertAlign w:val="subscript"/>
              </w:rPr>
              <w:t>D</w:t>
            </w:r>
            <w:r>
              <w:rPr>
                <w:sz w:val="24"/>
                <w:vertAlign w:val="baseline"/>
              </w:rPr>
              <w:t> x T x 0.001</w:t>
            </w:r>
          </w:p>
          <w:p>
            <w:pPr>
              <w:pStyle w:val="TableParagraph"/>
              <w:spacing w:before="1"/>
              <w:ind w:left="0"/>
              <w:rPr>
                <w:sz w:val="31"/>
              </w:rPr>
            </w:pPr>
          </w:p>
          <w:p>
            <w:pPr>
              <w:pStyle w:val="TableParagraph"/>
              <w:rPr>
                <w:i/>
                <w:sz w:val="24"/>
              </w:rPr>
            </w:pPr>
            <w:r>
              <w:rPr>
                <w:i/>
                <w:sz w:val="24"/>
              </w:rPr>
              <w:t>Where:</w:t>
            </w:r>
          </w:p>
          <w:p>
            <w:pPr>
              <w:pStyle w:val="TableParagraph"/>
              <w:spacing w:line="276" w:lineRule="auto" w:before="39"/>
              <w:ind w:right="8747"/>
              <w:rPr>
                <w:i/>
                <w:sz w:val="24"/>
              </w:rPr>
            </w:pPr>
            <w:r>
              <w:rPr>
                <w:i/>
                <w:sz w:val="24"/>
              </w:rPr>
              <w:t>PDI is the power density indicator, in units of W.lx</w:t>
            </w:r>
            <w:r>
              <w:rPr>
                <w:i/>
                <w:sz w:val="24"/>
                <w:vertAlign w:val="superscript"/>
              </w:rPr>
              <w:t>-1</w:t>
            </w:r>
            <w:r>
              <w:rPr>
                <w:i/>
                <w:sz w:val="24"/>
                <w:vertAlign w:val="baseline"/>
              </w:rPr>
              <w:t>.m</w:t>
            </w:r>
            <w:r>
              <w:rPr>
                <w:i/>
                <w:sz w:val="24"/>
                <w:vertAlign w:val="superscript"/>
              </w:rPr>
              <w:t>-2</w:t>
            </w:r>
            <w:r>
              <w:rPr>
                <w:i/>
                <w:sz w:val="24"/>
                <w:vertAlign w:val="baseline"/>
              </w:rPr>
              <w:t> </w:t>
            </w:r>
            <w:r>
              <w:rPr>
                <w:i/>
                <w:sz w:val="24"/>
                <w:vertAlign w:val="baseline"/>
              </w:rPr>
              <w:t>E</w:t>
            </w:r>
            <w:r>
              <w:rPr>
                <w:i/>
                <w:sz w:val="24"/>
                <w:vertAlign w:val="subscript"/>
              </w:rPr>
              <w:t>m</w:t>
            </w:r>
            <w:r>
              <w:rPr>
                <w:i/>
                <w:sz w:val="24"/>
                <w:vertAlign w:val="baseline"/>
              </w:rPr>
              <w:t> is the maximum maintained illuminance (lx)</w:t>
            </w:r>
          </w:p>
          <w:p>
            <w:pPr>
              <w:pStyle w:val="TableParagraph"/>
              <w:spacing w:line="273" w:lineRule="auto"/>
              <w:ind w:right="9048"/>
              <w:rPr>
                <w:i/>
                <w:sz w:val="24"/>
              </w:rPr>
            </w:pPr>
            <w:r>
              <w:rPr>
                <w:i/>
                <w:sz w:val="24"/>
              </w:rPr>
              <w:t>F</w:t>
            </w:r>
            <w:r>
              <w:rPr>
                <w:i/>
                <w:sz w:val="24"/>
                <w:vertAlign w:val="subscript"/>
              </w:rPr>
              <w:t>D</w:t>
            </w:r>
            <w:r>
              <w:rPr>
                <w:i/>
                <w:sz w:val="24"/>
                <w:vertAlign w:val="baseline"/>
              </w:rPr>
              <w:t> is the dimming factor for any programmed dimming </w:t>
            </w:r>
            <w:r>
              <w:rPr>
                <w:i/>
                <w:sz w:val="24"/>
                <w:vertAlign w:val="baseline"/>
              </w:rPr>
              <w:t>T is the operating time (h.yr</w:t>
            </w:r>
            <w:r>
              <w:rPr>
                <w:i/>
                <w:sz w:val="24"/>
                <w:vertAlign w:val="superscript"/>
              </w:rPr>
              <w:t>-1</w:t>
            </w:r>
            <w:r>
              <w:rPr>
                <w:i/>
                <w:sz w:val="24"/>
                <w:vertAlign w:val="baseline"/>
              </w:rPr>
              <w:t>)</w:t>
            </w:r>
          </w:p>
          <w:p>
            <w:pPr>
              <w:pStyle w:val="TableParagraph"/>
              <w:rPr>
                <w:i/>
                <w:sz w:val="24"/>
              </w:rPr>
            </w:pPr>
            <w:r>
              <w:rPr>
                <w:i/>
                <w:sz w:val="24"/>
              </w:rPr>
              <w:t>0.001 is the number of kW in 1W</w:t>
            </w:r>
          </w:p>
          <w:p>
            <w:pPr>
              <w:pStyle w:val="TableParagraph"/>
              <w:spacing w:before="10"/>
              <w:ind w:left="0"/>
              <w:rPr>
                <w:sz w:val="30"/>
              </w:rPr>
            </w:pPr>
          </w:p>
          <w:p>
            <w:pPr>
              <w:pStyle w:val="TableParagraph"/>
              <w:spacing w:before="1"/>
              <w:rPr>
                <w:sz w:val="24"/>
              </w:rPr>
            </w:pPr>
            <w:r>
              <w:rPr>
                <w:sz w:val="24"/>
              </w:rPr>
              <w:t>The PDI</w:t>
            </w:r>
            <w:r>
              <w:rPr>
                <w:sz w:val="24"/>
                <w:vertAlign w:val="subscript"/>
              </w:rPr>
              <w:t>ref</w:t>
            </w:r>
            <w:r>
              <w:rPr>
                <w:sz w:val="24"/>
                <w:vertAlign w:val="baseline"/>
              </w:rPr>
              <w:t> value used shall depend on the road width and year as listed in Technical Annex I. Lower PDI</w:t>
            </w:r>
            <w:r>
              <w:rPr>
                <w:sz w:val="24"/>
                <w:vertAlign w:val="subscript"/>
              </w:rPr>
              <w:t>ref</w:t>
            </w:r>
            <w:r>
              <w:rPr>
                <w:sz w:val="24"/>
                <w:vertAlign w:val="baseline"/>
              </w:rPr>
              <w:t> values than those listed in Technical Annex I are justified in cases where light sources with CCT ≤2700K are also specified.</w:t>
            </w:r>
          </w:p>
          <w:p>
            <w:pPr>
              <w:pStyle w:val="TableParagraph"/>
              <w:spacing w:before="5"/>
              <w:ind w:left="0"/>
              <w:rPr>
                <w:sz w:val="31"/>
              </w:rPr>
            </w:pPr>
          </w:p>
          <w:p>
            <w:pPr>
              <w:pStyle w:val="TableParagraph"/>
              <w:spacing w:before="1"/>
              <w:rPr>
                <w:b/>
                <w:sz w:val="24"/>
              </w:rPr>
            </w:pPr>
            <w:r>
              <w:rPr>
                <w:b/>
                <w:sz w:val="24"/>
              </w:rPr>
              <w:t>Verification:</w:t>
            </w:r>
          </w:p>
          <w:p>
            <w:pPr>
              <w:pStyle w:val="TableParagraph"/>
              <w:spacing w:before="33"/>
              <w:ind w:right="92"/>
              <w:jc w:val="both"/>
              <w:rPr>
                <w:sz w:val="24"/>
              </w:rPr>
            </w:pPr>
            <w:r>
              <w:rPr>
                <w:sz w:val="24"/>
              </w:rPr>
              <w:t>The tenderer shall state what lighting software has been used to calculate the PDI value and provide a clear calculation, where the values for the luminaire efficacy, maintenance factor and utilance factor of their proposed design are visible. The calculation results must include the measurement grid and calculated illuminance/luminance values.</w:t>
            </w:r>
          </w:p>
        </w:tc>
      </w:tr>
      <w:tr>
        <w:trPr>
          <w:trHeight w:val="1857" w:hRule="atLeast"/>
        </w:trPr>
        <w:tc>
          <w:tcPr>
            <w:tcW w:w="7339" w:type="dxa"/>
          </w:tcPr>
          <w:p>
            <w:pPr>
              <w:pStyle w:val="TableParagraph"/>
              <w:spacing w:before="37"/>
              <w:rPr>
                <w:b/>
                <w:sz w:val="24"/>
              </w:rPr>
            </w:pPr>
            <w:r>
              <w:rPr>
                <w:b/>
                <w:sz w:val="24"/>
              </w:rPr>
              <w:t>TS5. Metering</w:t>
            </w:r>
          </w:p>
          <w:p>
            <w:pPr>
              <w:pStyle w:val="TableParagraph"/>
              <w:spacing w:before="38"/>
              <w:ind w:right="195"/>
              <w:rPr>
                <w:b/>
                <w:i/>
                <w:sz w:val="24"/>
              </w:rPr>
            </w:pPr>
            <w:r>
              <w:rPr>
                <w:b/>
                <w:i/>
                <w:sz w:val="24"/>
              </w:rPr>
              <w:t>(Applicable to all tenders where no dedicated meter is yet in place for </w:t>
            </w:r>
            <w:r>
              <w:rPr>
                <w:b/>
                <w:i/>
                <w:sz w:val="24"/>
              </w:rPr>
              <w:t>the lighting</w:t>
            </w:r>
            <w:r>
              <w:rPr>
                <w:b/>
                <w:i/>
                <w:spacing w:val="-2"/>
                <w:sz w:val="24"/>
              </w:rPr>
              <w:t> </w:t>
            </w:r>
            <w:r>
              <w:rPr>
                <w:b/>
                <w:i/>
                <w:sz w:val="24"/>
              </w:rPr>
              <w:t>installation.)</w:t>
            </w:r>
          </w:p>
          <w:p>
            <w:pPr>
              <w:pStyle w:val="TableParagraph"/>
              <w:spacing w:before="8"/>
              <w:ind w:left="0"/>
              <w:rPr>
                <w:sz w:val="30"/>
              </w:rPr>
            </w:pPr>
          </w:p>
          <w:p>
            <w:pPr>
              <w:pStyle w:val="TableParagraph"/>
              <w:rPr>
                <w:sz w:val="24"/>
              </w:rPr>
            </w:pPr>
            <w:r>
              <w:rPr>
                <w:sz w:val="24"/>
              </w:rPr>
              <w:t>The procurer shall state any specific technical requirements for the metering system in the ITT.</w:t>
            </w:r>
          </w:p>
        </w:tc>
        <w:tc>
          <w:tcPr>
            <w:tcW w:w="7166" w:type="dxa"/>
          </w:tcPr>
          <w:p>
            <w:pPr>
              <w:pStyle w:val="TableParagraph"/>
              <w:spacing w:before="37"/>
              <w:rPr>
                <w:b/>
                <w:sz w:val="24"/>
              </w:rPr>
            </w:pPr>
            <w:r>
              <w:rPr>
                <w:b/>
                <w:sz w:val="24"/>
              </w:rPr>
              <w:t>TS5. Metering</w:t>
            </w:r>
          </w:p>
          <w:p>
            <w:pPr>
              <w:pStyle w:val="TableParagraph"/>
              <w:spacing w:before="38"/>
              <w:rPr>
                <w:b/>
                <w:i/>
                <w:sz w:val="24"/>
              </w:rPr>
            </w:pPr>
            <w:r>
              <w:rPr>
                <w:b/>
                <w:i/>
                <w:sz w:val="24"/>
              </w:rPr>
              <w:t>(Applicable to all tenders where no dedicated meter is yet in place for </w:t>
            </w:r>
            <w:r>
              <w:rPr>
                <w:b/>
                <w:i/>
                <w:sz w:val="24"/>
              </w:rPr>
              <w:t>the lighting installation.)</w:t>
            </w:r>
          </w:p>
          <w:p>
            <w:pPr>
              <w:pStyle w:val="TableParagraph"/>
              <w:spacing w:before="8"/>
              <w:ind w:left="0"/>
              <w:rPr>
                <w:sz w:val="30"/>
              </w:rPr>
            </w:pPr>
          </w:p>
          <w:p>
            <w:pPr>
              <w:pStyle w:val="TableParagraph"/>
              <w:rPr>
                <w:sz w:val="24"/>
              </w:rPr>
            </w:pPr>
            <w:r>
              <w:rPr>
                <w:sz w:val="24"/>
              </w:rPr>
              <w:t>The procurer shall state any specific technical requirements for the metering system in the ITT.</w:t>
            </w:r>
          </w:p>
        </w:tc>
      </w:tr>
    </w:tbl>
    <w:p>
      <w:pPr>
        <w:spacing w:after="0"/>
        <w:rPr>
          <w:sz w:val="24"/>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9"/>
        <w:gridCol w:w="7166"/>
      </w:tblGrid>
      <w:tr>
        <w:trPr>
          <w:trHeight w:val="3786" w:hRule="atLeast"/>
        </w:trPr>
        <w:tc>
          <w:tcPr>
            <w:tcW w:w="7339" w:type="dxa"/>
          </w:tcPr>
          <w:p>
            <w:pPr>
              <w:pStyle w:val="TableParagraph"/>
              <w:ind w:right="89"/>
              <w:jc w:val="both"/>
              <w:rPr>
                <w:sz w:val="24"/>
              </w:rPr>
            </w:pPr>
            <w:r>
              <w:rPr>
                <w:sz w:val="24"/>
              </w:rPr>
              <w:t>The tenderer shall provide details of the proposed metering equipment and any ancillary equipment required in order to monitor electrical consumption at the lighting installation level for the same lighting installation that is the subject matter of the</w:t>
            </w:r>
            <w:r>
              <w:rPr>
                <w:spacing w:val="-1"/>
                <w:sz w:val="24"/>
              </w:rPr>
              <w:t> </w:t>
            </w:r>
            <w:r>
              <w:rPr>
                <w:sz w:val="24"/>
              </w:rPr>
              <w:t>ITT.</w:t>
            </w:r>
          </w:p>
          <w:p>
            <w:pPr>
              <w:pStyle w:val="TableParagraph"/>
              <w:spacing w:before="6"/>
              <w:ind w:left="0"/>
              <w:rPr>
                <w:sz w:val="30"/>
              </w:rPr>
            </w:pPr>
          </w:p>
          <w:p>
            <w:pPr>
              <w:pStyle w:val="TableParagraph"/>
              <w:spacing w:before="1"/>
              <w:rPr>
                <w:b/>
                <w:sz w:val="24"/>
              </w:rPr>
            </w:pPr>
            <w:r>
              <w:rPr>
                <w:b/>
                <w:sz w:val="24"/>
              </w:rPr>
              <w:t>Verification:</w:t>
            </w:r>
          </w:p>
          <w:p>
            <w:pPr>
              <w:pStyle w:val="TableParagraph"/>
              <w:spacing w:before="36"/>
              <w:ind w:right="92"/>
              <w:jc w:val="both"/>
              <w:rPr>
                <w:sz w:val="24"/>
              </w:rPr>
            </w:pPr>
            <w:r>
              <w:rPr>
                <w:sz w:val="24"/>
              </w:rPr>
              <w:t>The tenderer shall provide the technical specifications of the metering and measurement system and provide clear instructions on how to operate and maintain this system. A calibration certificate compliant with Measuring Instruments Directive 2004/22/EC shall be provided for each control zone.</w:t>
            </w:r>
          </w:p>
        </w:tc>
        <w:tc>
          <w:tcPr>
            <w:tcW w:w="7166" w:type="dxa"/>
          </w:tcPr>
          <w:p>
            <w:pPr>
              <w:pStyle w:val="TableParagraph"/>
              <w:ind w:right="93"/>
              <w:jc w:val="both"/>
              <w:rPr>
                <w:sz w:val="24"/>
              </w:rPr>
            </w:pPr>
            <w:r>
              <w:rPr>
                <w:sz w:val="24"/>
              </w:rPr>
              <w:t>The tenderer shall provide details of the proposed metering equipment and any ancillary equipment required in order to monitor electrical consumption at the lighting installation level for the same lighting installation that is the subject matter of the ITT.</w:t>
            </w:r>
          </w:p>
          <w:p>
            <w:pPr>
              <w:pStyle w:val="TableParagraph"/>
              <w:spacing w:before="32"/>
              <w:ind w:right="95"/>
              <w:jc w:val="both"/>
              <w:rPr>
                <w:sz w:val="24"/>
              </w:rPr>
            </w:pPr>
            <w:r>
              <w:rPr>
                <w:sz w:val="24"/>
              </w:rPr>
              <w:t>The metering device must be capable of logging data on a 24-hour basis that can later be manually or remotely downloaded.</w:t>
            </w:r>
          </w:p>
          <w:p>
            <w:pPr>
              <w:pStyle w:val="TableParagraph"/>
              <w:spacing w:before="4"/>
              <w:ind w:left="0"/>
              <w:rPr>
                <w:sz w:val="31"/>
              </w:rPr>
            </w:pPr>
          </w:p>
          <w:p>
            <w:pPr>
              <w:pStyle w:val="TableParagraph"/>
              <w:rPr>
                <w:b/>
                <w:sz w:val="24"/>
              </w:rPr>
            </w:pPr>
            <w:r>
              <w:rPr>
                <w:b/>
                <w:sz w:val="24"/>
              </w:rPr>
              <w:t>Verification:</w:t>
            </w:r>
          </w:p>
          <w:p>
            <w:pPr>
              <w:pStyle w:val="TableParagraph"/>
              <w:spacing w:before="36"/>
              <w:ind w:right="90"/>
              <w:jc w:val="both"/>
              <w:rPr>
                <w:sz w:val="24"/>
              </w:rPr>
            </w:pPr>
            <w:r>
              <w:rPr>
                <w:sz w:val="24"/>
              </w:rPr>
              <w:t>The tenderer shall provide the technical specifications of the metering and measurement system and provide clear instructions on how to operate and maintain this system. A calibration certificate compliant with Measuring Instruments Directive 2004/22/EC shall be provided for each control zone.</w:t>
            </w:r>
          </w:p>
        </w:tc>
      </w:tr>
      <w:tr>
        <w:trPr>
          <w:trHeight w:val="3712" w:hRule="atLeast"/>
        </w:trPr>
        <w:tc>
          <w:tcPr>
            <w:tcW w:w="7339" w:type="dxa"/>
          </w:tcPr>
          <w:p>
            <w:pPr>
              <w:pStyle w:val="TableParagraph"/>
              <w:spacing w:before="39"/>
              <w:jc w:val="both"/>
              <w:rPr>
                <w:b/>
                <w:sz w:val="24"/>
              </w:rPr>
            </w:pPr>
            <w:r>
              <w:rPr>
                <w:b/>
                <w:sz w:val="24"/>
              </w:rPr>
              <w:t>TS6. Power factor</w:t>
            </w:r>
          </w:p>
          <w:p>
            <w:pPr>
              <w:pStyle w:val="TableParagraph"/>
              <w:spacing w:before="39"/>
              <w:jc w:val="both"/>
              <w:rPr>
                <w:b/>
                <w:i/>
                <w:sz w:val="24"/>
              </w:rPr>
            </w:pPr>
            <w:r>
              <w:rPr>
                <w:b/>
                <w:i/>
                <w:sz w:val="24"/>
              </w:rPr>
              <w:t>(Applicable when LED luminaires are being procured.)</w:t>
            </w:r>
          </w:p>
          <w:p>
            <w:pPr>
              <w:pStyle w:val="TableParagraph"/>
              <w:spacing w:before="5"/>
              <w:ind w:left="0"/>
              <w:rPr>
                <w:sz w:val="30"/>
              </w:rPr>
            </w:pPr>
          </w:p>
          <w:p>
            <w:pPr>
              <w:pStyle w:val="TableParagraph"/>
              <w:jc w:val="both"/>
              <w:rPr>
                <w:sz w:val="24"/>
              </w:rPr>
            </w:pPr>
            <w:r>
              <w:rPr>
                <w:sz w:val="24"/>
              </w:rPr>
              <w:t>The power factor for the luminaire to be installed shall be ≥0.90.</w:t>
            </w:r>
          </w:p>
          <w:p>
            <w:pPr>
              <w:pStyle w:val="TableParagraph"/>
              <w:spacing w:before="4"/>
              <w:ind w:left="0"/>
              <w:rPr>
                <w:sz w:val="31"/>
              </w:rPr>
            </w:pPr>
          </w:p>
          <w:p>
            <w:pPr>
              <w:pStyle w:val="TableParagraph"/>
              <w:jc w:val="both"/>
              <w:rPr>
                <w:b/>
                <w:sz w:val="24"/>
              </w:rPr>
            </w:pPr>
            <w:r>
              <w:rPr>
                <w:b/>
                <w:sz w:val="24"/>
              </w:rPr>
              <w:t>Verification:</w:t>
            </w:r>
          </w:p>
          <w:p>
            <w:pPr>
              <w:pStyle w:val="TableParagraph"/>
              <w:spacing w:before="36"/>
              <w:ind w:right="94"/>
              <w:jc w:val="both"/>
              <w:rPr>
                <w:sz w:val="24"/>
              </w:rPr>
            </w:pPr>
            <w:r>
              <w:rPr>
                <w:sz w:val="24"/>
              </w:rPr>
              <w:t>The tenderer shall provide a declaration of compliance with the criterion for the lighting equipment they intend to supply, supported by a declaration from the manufacturer and results from tests carried out in accordance with IEC 61000-3-2.</w:t>
            </w:r>
          </w:p>
        </w:tc>
        <w:tc>
          <w:tcPr>
            <w:tcW w:w="7166" w:type="dxa"/>
          </w:tcPr>
          <w:p>
            <w:pPr>
              <w:pStyle w:val="TableParagraph"/>
              <w:spacing w:before="39"/>
              <w:jc w:val="both"/>
              <w:rPr>
                <w:b/>
                <w:sz w:val="24"/>
              </w:rPr>
            </w:pPr>
            <w:r>
              <w:rPr>
                <w:b/>
                <w:sz w:val="24"/>
              </w:rPr>
              <w:t>TS6. Power factor</w:t>
            </w:r>
          </w:p>
          <w:p>
            <w:pPr>
              <w:pStyle w:val="TableParagraph"/>
              <w:spacing w:before="39"/>
              <w:jc w:val="both"/>
              <w:rPr>
                <w:b/>
                <w:i/>
                <w:sz w:val="24"/>
              </w:rPr>
            </w:pPr>
            <w:r>
              <w:rPr>
                <w:b/>
                <w:i/>
                <w:sz w:val="24"/>
              </w:rPr>
              <w:t>(Applicable when LED luminaires are being procured.)</w:t>
            </w:r>
          </w:p>
          <w:p>
            <w:pPr>
              <w:pStyle w:val="TableParagraph"/>
              <w:spacing w:before="5"/>
              <w:ind w:left="0"/>
              <w:rPr>
                <w:sz w:val="30"/>
              </w:rPr>
            </w:pPr>
          </w:p>
          <w:p>
            <w:pPr>
              <w:pStyle w:val="TableParagraph"/>
              <w:jc w:val="both"/>
              <w:rPr>
                <w:sz w:val="24"/>
              </w:rPr>
            </w:pPr>
            <w:r>
              <w:rPr>
                <w:sz w:val="24"/>
              </w:rPr>
              <w:t>The power factor for the luminaire to be installed shall be ≥0.95.</w:t>
            </w:r>
          </w:p>
          <w:p>
            <w:pPr>
              <w:pStyle w:val="TableParagraph"/>
              <w:spacing w:before="4"/>
              <w:ind w:left="0"/>
              <w:rPr>
                <w:sz w:val="31"/>
              </w:rPr>
            </w:pPr>
          </w:p>
          <w:p>
            <w:pPr>
              <w:pStyle w:val="TableParagraph"/>
              <w:jc w:val="both"/>
              <w:rPr>
                <w:b/>
                <w:sz w:val="24"/>
              </w:rPr>
            </w:pPr>
            <w:r>
              <w:rPr>
                <w:b/>
                <w:sz w:val="24"/>
              </w:rPr>
              <w:t>Verification:</w:t>
            </w:r>
          </w:p>
          <w:p>
            <w:pPr>
              <w:pStyle w:val="TableParagraph"/>
              <w:spacing w:before="36"/>
              <w:ind w:right="91"/>
              <w:jc w:val="both"/>
              <w:rPr>
                <w:sz w:val="24"/>
              </w:rPr>
            </w:pPr>
            <w:r>
              <w:rPr>
                <w:sz w:val="24"/>
              </w:rPr>
              <w:t>The tenderer shall provide a declaration of compliance with the criterion for the lighting equipment they intend to supply, supported by a declaration from the manufacturer and results from tests carried out in accordance with IEC 61000-3-2.</w:t>
            </w:r>
          </w:p>
        </w:tc>
      </w:tr>
    </w:tbl>
    <w:p>
      <w:pPr>
        <w:spacing w:after="0"/>
        <w:jc w:val="both"/>
        <w:rPr>
          <w:sz w:val="24"/>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95" w:hRule="atLeast"/>
        </w:trPr>
        <w:tc>
          <w:tcPr>
            <w:tcW w:w="14506" w:type="dxa"/>
            <w:shd w:val="clear" w:color="auto" w:fill="92D050"/>
          </w:tcPr>
          <w:p>
            <w:pPr>
              <w:pStyle w:val="TableParagraph"/>
              <w:spacing w:before="56"/>
              <w:ind w:left="5051" w:right="5040"/>
              <w:jc w:val="center"/>
              <w:rPr>
                <w:b/>
                <w:sz w:val="24"/>
              </w:rPr>
            </w:pPr>
            <w:r>
              <w:rPr>
                <w:b/>
                <w:sz w:val="24"/>
              </w:rPr>
              <w:t>AWARD CRITERIA</w:t>
            </w:r>
          </w:p>
        </w:tc>
      </w:tr>
      <w:tr>
        <w:trPr>
          <w:trHeight w:val="2687" w:hRule="atLeast"/>
        </w:trPr>
        <w:tc>
          <w:tcPr>
            <w:tcW w:w="14506" w:type="dxa"/>
          </w:tcPr>
          <w:p>
            <w:pPr>
              <w:pStyle w:val="TableParagraph"/>
              <w:spacing w:before="56"/>
              <w:rPr>
                <w:b/>
                <w:sz w:val="24"/>
              </w:rPr>
            </w:pPr>
            <w:r>
              <w:rPr>
                <w:b/>
                <w:sz w:val="24"/>
              </w:rPr>
              <w:t>AC1. Enhanced luminaire efficacy</w:t>
            </w:r>
          </w:p>
          <w:p>
            <w:pPr>
              <w:pStyle w:val="TableParagraph"/>
              <w:spacing w:before="60"/>
              <w:rPr>
                <w:b/>
                <w:i/>
                <w:sz w:val="24"/>
              </w:rPr>
            </w:pPr>
            <w:r>
              <w:rPr>
                <w:b/>
                <w:i/>
                <w:sz w:val="24"/>
              </w:rPr>
              <w:t>(Applies to TS1.)</w:t>
            </w:r>
          </w:p>
          <w:p>
            <w:pPr>
              <w:pStyle w:val="TableParagraph"/>
              <w:spacing w:before="55"/>
              <w:rPr>
                <w:i/>
                <w:sz w:val="24"/>
              </w:rPr>
            </w:pPr>
            <w:r>
              <w:rPr>
                <w:i/>
                <w:sz w:val="24"/>
              </w:rPr>
              <w:t>(Same for core and comprehensive criteria.)</w:t>
            </w:r>
          </w:p>
          <w:p>
            <w:pPr>
              <w:pStyle w:val="TableParagraph"/>
              <w:ind w:left="0"/>
              <w:rPr>
                <w:sz w:val="26"/>
              </w:rPr>
            </w:pPr>
          </w:p>
          <w:p>
            <w:pPr>
              <w:pStyle w:val="TableParagraph"/>
              <w:spacing w:before="158"/>
              <w:ind w:right="83"/>
              <w:rPr>
                <w:sz w:val="24"/>
              </w:rPr>
            </w:pPr>
            <w:r>
              <w:rPr>
                <w:sz w:val="24"/>
              </w:rPr>
              <w:t>A score of up to X points shall be awarded to tenderers that are able to provide light sources or luminaires which exceed the minimum luminous efficacy defined in TS1.</w:t>
            </w:r>
          </w:p>
          <w:p>
            <w:pPr>
              <w:pStyle w:val="TableParagraph"/>
              <w:spacing w:before="60"/>
              <w:ind w:right="83"/>
              <w:rPr>
                <w:sz w:val="24"/>
              </w:rPr>
            </w:pPr>
            <w:r>
              <w:rPr>
                <w:sz w:val="24"/>
              </w:rPr>
              <w:t>Maximum points (X) will be awarded to the tender with the highest luminous efficacy value and points will be proportionately awarded to any other tenders whose light sources or luminaires exceed the minimum requirements of TS1 but do not reach the value of the highest efficacy tender.</w:t>
            </w:r>
          </w:p>
        </w:tc>
      </w:tr>
      <w:tr>
        <w:trPr>
          <w:trHeight w:val="4427" w:hRule="atLeast"/>
        </w:trPr>
        <w:tc>
          <w:tcPr>
            <w:tcW w:w="14506" w:type="dxa"/>
          </w:tcPr>
          <w:p>
            <w:pPr>
              <w:pStyle w:val="TableParagraph"/>
              <w:spacing w:before="56"/>
              <w:rPr>
                <w:b/>
                <w:sz w:val="24"/>
              </w:rPr>
            </w:pPr>
            <w:r>
              <w:rPr>
                <w:b/>
                <w:sz w:val="24"/>
              </w:rPr>
              <w:t>AC2. Enhanced AECI</w:t>
            </w:r>
          </w:p>
          <w:p>
            <w:pPr>
              <w:pStyle w:val="TableParagraph"/>
              <w:spacing w:before="60"/>
              <w:rPr>
                <w:b/>
                <w:i/>
                <w:sz w:val="24"/>
              </w:rPr>
            </w:pPr>
            <w:r>
              <w:rPr>
                <w:b/>
                <w:i/>
                <w:sz w:val="24"/>
              </w:rPr>
              <w:t>(Applies to TS4.)</w:t>
            </w:r>
          </w:p>
          <w:p>
            <w:pPr>
              <w:pStyle w:val="TableParagraph"/>
              <w:spacing w:before="55"/>
              <w:rPr>
                <w:i/>
                <w:sz w:val="24"/>
              </w:rPr>
            </w:pPr>
            <w:r>
              <w:rPr>
                <w:i/>
                <w:sz w:val="24"/>
              </w:rPr>
              <w:t>(Same for core and comprehensive criteria.)</w:t>
            </w:r>
          </w:p>
          <w:p>
            <w:pPr>
              <w:pStyle w:val="TableParagraph"/>
              <w:ind w:left="0"/>
              <w:rPr>
                <w:sz w:val="26"/>
              </w:rPr>
            </w:pPr>
          </w:p>
          <w:p>
            <w:pPr>
              <w:pStyle w:val="TableParagraph"/>
              <w:spacing w:before="218"/>
              <w:ind w:right="83"/>
              <w:rPr>
                <w:sz w:val="24"/>
              </w:rPr>
            </w:pPr>
            <w:r>
              <w:rPr>
                <w:sz w:val="24"/>
              </w:rPr>
              <w:t>A score of up to X points shall be awarded to tenderers that are able to provide designs that result in a lower AECI than the maximum limit defined in TS4.</w:t>
            </w:r>
          </w:p>
          <w:p>
            <w:pPr>
              <w:pStyle w:val="TableParagraph"/>
              <w:spacing w:before="60"/>
              <w:ind w:right="83"/>
              <w:rPr>
                <w:sz w:val="24"/>
              </w:rPr>
            </w:pPr>
            <w:r>
              <w:rPr>
                <w:sz w:val="24"/>
              </w:rPr>
              <w:t>Maximum points (X) will be awarded to the tender with the lowest AECI value and points shall be proportionately awarded to any other tenders whose designs are lower than the maximum limit in TS4 but do not reach the value of lowest energy consuming tender.</w:t>
            </w:r>
          </w:p>
        </w:tc>
      </w:tr>
    </w:tbl>
    <w:p>
      <w:pPr>
        <w:spacing w:after="0"/>
        <w:rPr>
          <w:sz w:val="24"/>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95" w:hRule="atLeast"/>
        </w:trPr>
        <w:tc>
          <w:tcPr>
            <w:tcW w:w="14506" w:type="dxa"/>
            <w:shd w:val="clear" w:color="auto" w:fill="92D050"/>
          </w:tcPr>
          <w:p>
            <w:pPr>
              <w:pStyle w:val="TableParagraph"/>
              <w:spacing w:before="56"/>
              <w:ind w:left="5054" w:right="5040"/>
              <w:jc w:val="center"/>
              <w:rPr>
                <w:b/>
                <w:sz w:val="24"/>
              </w:rPr>
            </w:pPr>
            <w:r>
              <w:rPr>
                <w:b/>
                <w:sz w:val="24"/>
              </w:rPr>
              <w:t>CONTRACT PERFORMANCE CLAUSE</w:t>
            </w:r>
          </w:p>
        </w:tc>
      </w:tr>
      <w:tr>
        <w:trPr>
          <w:trHeight w:val="4041" w:hRule="atLeast"/>
        </w:trPr>
        <w:tc>
          <w:tcPr>
            <w:tcW w:w="14506" w:type="dxa"/>
          </w:tcPr>
          <w:p>
            <w:pPr>
              <w:pStyle w:val="TableParagraph"/>
              <w:spacing w:before="56"/>
              <w:rPr>
                <w:b/>
                <w:sz w:val="24"/>
              </w:rPr>
            </w:pPr>
            <w:r>
              <w:rPr>
                <w:b/>
                <w:sz w:val="24"/>
              </w:rPr>
              <w:t>CPC3. Dimming control</w:t>
            </w:r>
          </w:p>
          <w:p>
            <w:pPr>
              <w:pStyle w:val="TableParagraph"/>
              <w:spacing w:before="60"/>
              <w:rPr>
                <w:b/>
                <w:i/>
                <w:sz w:val="24"/>
              </w:rPr>
            </w:pPr>
            <w:r>
              <w:rPr>
                <w:b/>
                <w:i/>
                <w:sz w:val="24"/>
              </w:rPr>
              <w:t>(Applies to TS2 and TS3.)</w:t>
            </w:r>
          </w:p>
          <w:p>
            <w:pPr>
              <w:pStyle w:val="TableParagraph"/>
              <w:spacing w:before="55"/>
              <w:rPr>
                <w:i/>
                <w:sz w:val="24"/>
              </w:rPr>
            </w:pPr>
            <w:r>
              <w:rPr>
                <w:i/>
                <w:sz w:val="24"/>
              </w:rPr>
              <w:t>(Same for core and comprehensive criteria.)</w:t>
            </w:r>
          </w:p>
          <w:p>
            <w:pPr>
              <w:pStyle w:val="TableParagraph"/>
              <w:spacing w:before="5"/>
              <w:ind w:left="0"/>
              <w:rPr>
                <w:sz w:val="34"/>
              </w:rPr>
            </w:pPr>
          </w:p>
          <w:p>
            <w:pPr>
              <w:pStyle w:val="TableParagraph"/>
              <w:spacing w:before="1"/>
              <w:ind w:right="142"/>
              <w:rPr>
                <w:sz w:val="24"/>
              </w:rPr>
            </w:pPr>
            <w:r>
              <w:rPr>
                <w:sz w:val="24"/>
              </w:rPr>
              <w:t>If, for whatever reason, the contractor changes the light sources and/or luminaires from those specified in the successful tender, the new light sources and/or luminaires shall be at</w:t>
            </w:r>
            <w:r>
              <w:rPr>
                <w:spacing w:val="-5"/>
                <w:sz w:val="24"/>
              </w:rPr>
              <w:t> </w:t>
            </w:r>
            <w:r>
              <w:rPr>
                <w:sz w:val="24"/>
              </w:rPr>
              <w:t>least</w:t>
            </w:r>
          </w:p>
          <w:p>
            <w:pPr>
              <w:pStyle w:val="TableParagraph"/>
              <w:numPr>
                <w:ilvl w:val="0"/>
                <w:numId w:val="26"/>
              </w:numPr>
              <w:tabs>
                <w:tab w:pos="831" w:val="left" w:leader="none"/>
              </w:tabs>
              <w:spacing w:line="240" w:lineRule="auto" w:before="79" w:after="0"/>
              <w:ind w:left="830" w:right="0" w:hanging="360"/>
              <w:jc w:val="left"/>
              <w:rPr>
                <w:sz w:val="24"/>
              </w:rPr>
            </w:pPr>
            <w:r>
              <w:rPr>
                <w:sz w:val="24"/>
              </w:rPr>
              <w:t>equally compatible with dimming controls as the</w:t>
            </w:r>
            <w:r>
              <w:rPr>
                <w:spacing w:val="-7"/>
                <w:sz w:val="24"/>
              </w:rPr>
              <w:t> </w:t>
            </w:r>
            <w:r>
              <w:rPr>
                <w:sz w:val="24"/>
              </w:rPr>
              <w:t>originals,</w:t>
            </w:r>
          </w:p>
          <w:p>
            <w:pPr>
              <w:pStyle w:val="TableParagraph"/>
              <w:numPr>
                <w:ilvl w:val="0"/>
                <w:numId w:val="26"/>
              </w:numPr>
              <w:tabs>
                <w:tab w:pos="831" w:val="left" w:leader="none"/>
              </w:tabs>
              <w:spacing w:line="240" w:lineRule="auto" w:before="56" w:after="0"/>
              <w:ind w:left="830" w:right="0" w:hanging="360"/>
              <w:jc w:val="left"/>
              <w:rPr>
                <w:sz w:val="24"/>
              </w:rPr>
            </w:pPr>
            <w:r>
              <w:rPr>
                <w:sz w:val="24"/>
              </w:rPr>
              <w:t>have the same programmable</w:t>
            </w:r>
            <w:r>
              <w:rPr>
                <w:spacing w:val="-5"/>
                <w:sz w:val="24"/>
              </w:rPr>
              <w:t> </w:t>
            </w:r>
            <w:r>
              <w:rPr>
                <w:sz w:val="24"/>
              </w:rPr>
              <w:t>flexibility,</w:t>
            </w:r>
          </w:p>
          <w:p>
            <w:pPr>
              <w:pStyle w:val="TableParagraph"/>
              <w:numPr>
                <w:ilvl w:val="0"/>
                <w:numId w:val="26"/>
              </w:numPr>
              <w:tabs>
                <w:tab w:pos="831" w:val="left" w:leader="none"/>
              </w:tabs>
              <w:spacing w:line="240" w:lineRule="auto" w:before="60" w:after="0"/>
              <w:ind w:left="830" w:right="0" w:hanging="360"/>
              <w:jc w:val="left"/>
              <w:rPr>
                <w:sz w:val="24"/>
              </w:rPr>
            </w:pPr>
            <w:r>
              <w:rPr>
                <w:sz w:val="24"/>
              </w:rPr>
              <w:t>be able to achieve at least the same maximum dimming,</w:t>
            </w:r>
            <w:r>
              <w:rPr>
                <w:spacing w:val="-6"/>
                <w:sz w:val="24"/>
              </w:rPr>
              <w:t> </w:t>
            </w:r>
            <w:r>
              <w:rPr>
                <w:sz w:val="24"/>
              </w:rPr>
              <w:t>and</w:t>
            </w:r>
          </w:p>
          <w:p>
            <w:pPr>
              <w:pStyle w:val="TableParagraph"/>
              <w:numPr>
                <w:ilvl w:val="0"/>
                <w:numId w:val="26"/>
              </w:numPr>
              <w:tabs>
                <w:tab w:pos="831" w:val="left" w:leader="none"/>
              </w:tabs>
              <w:spacing w:line="240" w:lineRule="auto" w:before="56" w:after="0"/>
              <w:ind w:left="830" w:right="0" w:hanging="360"/>
              <w:jc w:val="left"/>
              <w:rPr>
                <w:sz w:val="24"/>
              </w:rPr>
            </w:pPr>
            <w:r>
              <w:rPr>
                <w:sz w:val="24"/>
              </w:rPr>
              <w:t>have a similar power</w:t>
            </w:r>
            <w:r>
              <w:rPr>
                <w:spacing w:val="-4"/>
                <w:sz w:val="24"/>
              </w:rPr>
              <w:t> </w:t>
            </w:r>
            <w:r>
              <w:rPr>
                <w:sz w:val="24"/>
              </w:rPr>
              <w:t>curve.</w:t>
            </w:r>
          </w:p>
          <w:p>
            <w:pPr>
              <w:pStyle w:val="TableParagraph"/>
              <w:spacing w:before="38"/>
              <w:ind w:right="83"/>
              <w:rPr>
                <w:sz w:val="24"/>
              </w:rPr>
            </w:pPr>
            <w:r>
              <w:rPr>
                <w:sz w:val="24"/>
              </w:rPr>
              <w:t>Agreement on this matter shall be settled by the provision of similar documentation from the manufacturer(s) of the new light sources and/or luminaires that would justify the selection of the new luminaires and/or light sources.</w:t>
            </w:r>
          </w:p>
        </w:tc>
      </w:tr>
      <w:tr>
        <w:trPr>
          <w:trHeight w:val="3076" w:hRule="atLeast"/>
        </w:trPr>
        <w:tc>
          <w:tcPr>
            <w:tcW w:w="14506" w:type="dxa"/>
          </w:tcPr>
          <w:p>
            <w:pPr>
              <w:pStyle w:val="TableParagraph"/>
              <w:spacing w:before="56"/>
              <w:rPr>
                <w:b/>
                <w:sz w:val="24"/>
              </w:rPr>
            </w:pPr>
            <w:r>
              <w:rPr>
                <w:b/>
                <w:sz w:val="24"/>
              </w:rPr>
              <w:t>CPC4. Commissioning and correct operation of lighting controls</w:t>
            </w:r>
          </w:p>
          <w:p>
            <w:pPr>
              <w:pStyle w:val="TableParagraph"/>
              <w:spacing w:before="60"/>
              <w:rPr>
                <w:b/>
                <w:i/>
                <w:sz w:val="24"/>
              </w:rPr>
            </w:pPr>
            <w:r>
              <w:rPr>
                <w:b/>
                <w:i/>
                <w:sz w:val="24"/>
              </w:rPr>
              <w:t>(Applies to TS2 and TS3.)</w:t>
            </w:r>
          </w:p>
          <w:p>
            <w:pPr>
              <w:pStyle w:val="TableParagraph"/>
              <w:spacing w:before="55"/>
              <w:rPr>
                <w:i/>
                <w:sz w:val="24"/>
              </w:rPr>
            </w:pPr>
            <w:r>
              <w:rPr>
                <w:i/>
                <w:sz w:val="24"/>
              </w:rPr>
              <w:t>(Same for core and comprehensive criteria.)</w:t>
            </w:r>
          </w:p>
          <w:p>
            <w:pPr>
              <w:pStyle w:val="TableParagraph"/>
              <w:spacing w:before="121"/>
              <w:rPr>
                <w:sz w:val="24"/>
              </w:rPr>
            </w:pPr>
            <w:r>
              <w:rPr>
                <w:sz w:val="24"/>
              </w:rPr>
              <w:t>The successful tenderer (contractor) shall ensure that new or renovated lighting systems and controls are working properly.</w:t>
            </w:r>
          </w:p>
          <w:p>
            <w:pPr>
              <w:pStyle w:val="TableParagraph"/>
              <w:numPr>
                <w:ilvl w:val="0"/>
                <w:numId w:val="27"/>
              </w:numPr>
              <w:tabs>
                <w:tab w:pos="831" w:val="left" w:leader="none"/>
              </w:tabs>
              <w:spacing w:line="240" w:lineRule="auto" w:before="79" w:after="0"/>
              <w:ind w:left="830" w:right="0" w:hanging="360"/>
              <w:jc w:val="left"/>
              <w:rPr>
                <w:sz w:val="24"/>
              </w:rPr>
            </w:pPr>
            <w:r>
              <w:rPr>
                <w:sz w:val="24"/>
              </w:rPr>
              <w:t>Any daylight linked controls shall be calibrated to ensure that they switch off the lighting when daylight is</w:t>
            </w:r>
            <w:r>
              <w:rPr>
                <w:spacing w:val="-27"/>
                <w:sz w:val="24"/>
              </w:rPr>
              <w:t> </w:t>
            </w:r>
            <w:r>
              <w:rPr>
                <w:sz w:val="24"/>
              </w:rPr>
              <w:t>adequate.</w:t>
            </w:r>
          </w:p>
          <w:p>
            <w:pPr>
              <w:pStyle w:val="TableParagraph"/>
              <w:numPr>
                <w:ilvl w:val="0"/>
                <w:numId w:val="27"/>
              </w:numPr>
              <w:tabs>
                <w:tab w:pos="831" w:val="left" w:leader="none"/>
              </w:tabs>
              <w:spacing w:line="240" w:lineRule="auto" w:before="56" w:after="0"/>
              <w:ind w:left="830" w:right="0" w:hanging="360"/>
              <w:jc w:val="left"/>
              <w:rPr>
                <w:sz w:val="24"/>
              </w:rPr>
            </w:pPr>
            <w:r>
              <w:rPr>
                <w:sz w:val="24"/>
              </w:rPr>
              <w:t>Any traffic sensors shall be tested to confirm that they detect vehicles, bicycles and pedestrians, as</w:t>
            </w:r>
            <w:r>
              <w:rPr>
                <w:spacing w:val="-24"/>
                <w:sz w:val="24"/>
              </w:rPr>
              <w:t> </w:t>
            </w:r>
            <w:r>
              <w:rPr>
                <w:sz w:val="24"/>
              </w:rPr>
              <w:t>appropriate.</w:t>
            </w:r>
          </w:p>
          <w:p>
            <w:pPr>
              <w:pStyle w:val="TableParagraph"/>
              <w:numPr>
                <w:ilvl w:val="0"/>
                <w:numId w:val="27"/>
              </w:numPr>
              <w:tabs>
                <w:tab w:pos="831" w:val="left" w:leader="none"/>
              </w:tabs>
              <w:spacing w:line="223" w:lineRule="auto" w:before="71" w:after="0"/>
              <w:ind w:left="830" w:right="93" w:hanging="360"/>
              <w:jc w:val="left"/>
              <w:rPr>
                <w:sz w:val="24"/>
              </w:rPr>
            </w:pPr>
            <w:r>
              <w:rPr>
                <w:sz w:val="24"/>
              </w:rPr>
              <w:t>Any time switches, CLO drivers and dimming controls shall be shown to be able to meet any relevant specifications defined by the procuring authority in the</w:t>
            </w:r>
            <w:r>
              <w:rPr>
                <w:spacing w:val="-8"/>
                <w:sz w:val="24"/>
              </w:rPr>
              <w:t> </w:t>
            </w:r>
            <w:r>
              <w:rPr>
                <w:sz w:val="24"/>
              </w:rPr>
              <w:t>ITT.</w:t>
            </w:r>
          </w:p>
          <w:p>
            <w:pPr>
              <w:pStyle w:val="TableParagraph"/>
              <w:spacing w:line="264" w:lineRule="exact" w:before="65"/>
              <w:rPr>
                <w:sz w:val="24"/>
              </w:rPr>
            </w:pPr>
            <w:r>
              <w:rPr>
                <w:sz w:val="24"/>
              </w:rPr>
              <w:t>If after the commissioning of the system, the lighting controls do not appear to meet the relevant requirements above, the contractor shall be liable</w:t>
            </w:r>
          </w:p>
        </w:tc>
      </w:tr>
    </w:tbl>
    <w:p>
      <w:pPr>
        <w:spacing w:after="0" w:line="264" w:lineRule="exact"/>
        <w:rPr>
          <w:sz w:val="24"/>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1619" w:hRule="atLeast"/>
        </w:trPr>
        <w:tc>
          <w:tcPr>
            <w:tcW w:w="14506" w:type="dxa"/>
          </w:tcPr>
          <w:p>
            <w:pPr>
              <w:pStyle w:val="TableParagraph"/>
              <w:spacing w:line="268" w:lineRule="exact"/>
              <w:rPr>
                <w:sz w:val="24"/>
              </w:rPr>
            </w:pPr>
            <w:r>
              <w:rPr>
                <w:sz w:val="24"/>
              </w:rPr>
              <w:t>to adjust and/or recalibrate the controls at no additional cost to the procuring authority.</w:t>
            </w:r>
          </w:p>
          <w:p>
            <w:pPr>
              <w:pStyle w:val="TableParagraph"/>
              <w:spacing w:before="60"/>
              <w:rPr>
                <w:sz w:val="24"/>
              </w:rPr>
            </w:pPr>
            <w:r>
              <w:rPr>
                <w:sz w:val="24"/>
              </w:rPr>
              <w:t>The contractor shall deliver a report detailing how the relevant adjustments and calibrations have been carried out and how the settings can be used.</w:t>
            </w:r>
          </w:p>
          <w:p>
            <w:pPr>
              <w:pStyle w:val="TableParagraph"/>
              <w:spacing w:before="5"/>
              <w:ind w:left="0"/>
              <w:rPr>
                <w:sz w:val="34"/>
              </w:rPr>
            </w:pPr>
          </w:p>
          <w:p>
            <w:pPr>
              <w:pStyle w:val="TableParagraph"/>
              <w:ind w:right="83"/>
              <w:rPr>
                <w:i/>
                <w:sz w:val="24"/>
              </w:rPr>
            </w:pPr>
            <w:r>
              <w:rPr>
                <w:b/>
                <w:i/>
                <w:sz w:val="24"/>
              </w:rPr>
              <w:t>Note: </w:t>
            </w:r>
            <w:r>
              <w:rPr>
                <w:i/>
                <w:sz w:val="24"/>
              </w:rPr>
              <w:t>For large utilities the new or renovated installation may simply have to be compatible with the existing control systems used for the wider </w:t>
            </w:r>
            <w:r>
              <w:rPr>
                <w:i/>
                <w:sz w:val="24"/>
              </w:rPr>
              <w:t>lighting network. In this situation, this CPC would also refer to the compatibility of the controls with the existing control system.</w:t>
            </w:r>
          </w:p>
        </w:tc>
      </w:tr>
      <w:tr>
        <w:trPr>
          <w:trHeight w:val="5867" w:hRule="atLeast"/>
        </w:trPr>
        <w:tc>
          <w:tcPr>
            <w:tcW w:w="14506" w:type="dxa"/>
          </w:tcPr>
          <w:p>
            <w:pPr>
              <w:pStyle w:val="TableParagraph"/>
              <w:spacing w:before="56"/>
              <w:rPr>
                <w:b/>
                <w:sz w:val="24"/>
              </w:rPr>
            </w:pPr>
            <w:r>
              <w:rPr>
                <w:b/>
                <w:sz w:val="24"/>
              </w:rPr>
              <w:t>CPC5. Provision of originally specified lighting equipment</w:t>
            </w:r>
          </w:p>
          <w:p>
            <w:pPr>
              <w:pStyle w:val="TableParagraph"/>
              <w:spacing w:before="60"/>
              <w:rPr>
                <w:b/>
                <w:i/>
                <w:sz w:val="24"/>
              </w:rPr>
            </w:pPr>
            <w:r>
              <w:rPr>
                <w:b/>
                <w:i/>
                <w:sz w:val="24"/>
              </w:rPr>
              <w:t>(Applies to TS1-6 and AC1-2.)</w:t>
            </w:r>
          </w:p>
          <w:p>
            <w:pPr>
              <w:pStyle w:val="TableParagraph"/>
              <w:spacing w:before="55"/>
              <w:rPr>
                <w:i/>
                <w:sz w:val="24"/>
              </w:rPr>
            </w:pPr>
            <w:r>
              <w:rPr>
                <w:i/>
                <w:sz w:val="24"/>
              </w:rPr>
              <w:t>(Same for core and comprehensive criteria.)</w:t>
            </w:r>
          </w:p>
          <w:p>
            <w:pPr>
              <w:pStyle w:val="TableParagraph"/>
              <w:ind w:left="0"/>
              <w:rPr>
                <w:sz w:val="26"/>
              </w:rPr>
            </w:pPr>
          </w:p>
          <w:p>
            <w:pPr>
              <w:pStyle w:val="TableParagraph"/>
              <w:spacing w:before="158"/>
              <w:ind w:right="83"/>
              <w:rPr>
                <w:sz w:val="24"/>
              </w:rPr>
            </w:pPr>
            <w:r>
              <w:rPr>
                <w:sz w:val="24"/>
              </w:rPr>
              <w:t>The contractor shall ensure that the lighting equipment (including light sources, luminaires and lighting controls) is installed as specified in the original tender.</w:t>
            </w:r>
          </w:p>
          <w:p>
            <w:pPr>
              <w:pStyle w:val="TableParagraph"/>
              <w:spacing w:before="60"/>
              <w:ind w:right="95"/>
              <w:jc w:val="both"/>
              <w:rPr>
                <w:sz w:val="24"/>
              </w:rPr>
            </w:pPr>
            <w:r>
              <w:rPr>
                <w:sz w:val="24"/>
              </w:rPr>
              <w:t>If the contractor changes the lighting equipment from that specified in the original tender, explanations must be provided in writing for this change and any replacement equipment must match or exceed the technical specifications of the original lighting equipment (e.g. luminaire efficacy, dimming functionality, R</w:t>
            </w:r>
            <w:r>
              <w:rPr>
                <w:sz w:val="24"/>
                <w:vertAlign w:val="subscript"/>
              </w:rPr>
              <w:t>ULO</w:t>
            </w:r>
            <w:r>
              <w:rPr>
                <w:sz w:val="24"/>
                <w:vertAlign w:val="baseline"/>
              </w:rPr>
              <w:t> etc.).</w:t>
            </w:r>
          </w:p>
          <w:p>
            <w:pPr>
              <w:pStyle w:val="TableParagraph"/>
              <w:spacing w:before="60"/>
              <w:ind w:right="83"/>
              <w:rPr>
                <w:sz w:val="24"/>
              </w:rPr>
            </w:pPr>
            <w:r>
              <w:rPr>
                <w:sz w:val="24"/>
              </w:rPr>
              <w:t>In either case, the contractor shall deliver a schedule of the actually installed lighting equipment, together with manufacturer invoices or delivery notes in an appendix.</w:t>
            </w:r>
          </w:p>
          <w:p>
            <w:pPr>
              <w:pStyle w:val="TableParagraph"/>
              <w:spacing w:before="60"/>
              <w:ind w:right="83"/>
              <w:rPr>
                <w:sz w:val="24"/>
              </w:rPr>
            </w:pPr>
            <w:r>
              <w:rPr>
                <w:sz w:val="24"/>
              </w:rPr>
              <w:t>If alternative lighting equipment is installed, test results and reports for luminous efficacy from the manufacturer(s) of any new light sources and luminaires shall be provided, along with relevant documentation stating the performance of any new lighting controls.</w:t>
            </w:r>
          </w:p>
        </w:tc>
      </w:tr>
    </w:tbl>
    <w:p>
      <w:pPr>
        <w:spacing w:after="0"/>
        <w:rPr>
          <w:sz w:val="24"/>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9"/>
        <w:gridCol w:w="7166"/>
      </w:tblGrid>
      <w:tr>
        <w:trPr>
          <w:trHeight w:val="7439" w:hRule="atLeast"/>
        </w:trPr>
        <w:tc>
          <w:tcPr>
            <w:tcW w:w="7339" w:type="dxa"/>
          </w:tcPr>
          <w:p>
            <w:pPr>
              <w:pStyle w:val="TableParagraph"/>
              <w:ind w:left="0"/>
              <w:rPr>
                <w:sz w:val="24"/>
              </w:rPr>
            </w:pPr>
          </w:p>
        </w:tc>
        <w:tc>
          <w:tcPr>
            <w:tcW w:w="7166" w:type="dxa"/>
          </w:tcPr>
          <w:p>
            <w:pPr>
              <w:pStyle w:val="TableParagraph"/>
              <w:spacing w:before="56"/>
              <w:ind w:right="91"/>
              <w:jc w:val="both"/>
              <w:rPr>
                <w:b/>
                <w:sz w:val="24"/>
              </w:rPr>
            </w:pPr>
            <w:r>
              <w:rPr>
                <w:b/>
                <w:sz w:val="24"/>
              </w:rPr>
              <w:t>CPC6. Compliance of actual energy efficiency and lighting levels with design claims</w:t>
            </w:r>
          </w:p>
          <w:p>
            <w:pPr>
              <w:pStyle w:val="TableParagraph"/>
              <w:spacing w:before="60"/>
              <w:ind w:right="91"/>
              <w:jc w:val="both"/>
              <w:rPr>
                <w:b/>
                <w:i/>
                <w:sz w:val="24"/>
              </w:rPr>
            </w:pPr>
            <w:r>
              <w:rPr>
                <w:b/>
                <w:i/>
                <w:sz w:val="24"/>
              </w:rPr>
              <w:t>(Only recommended for large installations with a significant amount </w:t>
            </w:r>
            <w:r>
              <w:rPr>
                <w:b/>
                <w:i/>
                <w:sz w:val="24"/>
              </w:rPr>
              <w:t>of installed power in non-urban environments.)</w:t>
            </w:r>
          </w:p>
          <w:p>
            <w:pPr>
              <w:pStyle w:val="TableParagraph"/>
              <w:ind w:left="0"/>
              <w:rPr>
                <w:sz w:val="34"/>
              </w:rPr>
            </w:pPr>
          </w:p>
          <w:p>
            <w:pPr>
              <w:pStyle w:val="TableParagraph"/>
              <w:spacing w:before="1"/>
              <w:ind w:right="90"/>
              <w:jc w:val="both"/>
              <w:rPr>
                <w:sz w:val="24"/>
              </w:rPr>
            </w:pPr>
            <w:r>
              <w:rPr>
                <w:sz w:val="24"/>
              </w:rPr>
              <w:t>Where relevant, a suitable non-urban road sub-area shall be selected by the procurer where the luminaire positioning is in line with the PDI photometry study for in-situ photometric measurements (according to EN 13032-2) and energy consumption measurements (according to EN 13201-5) during an agreed period of one week.</w:t>
            </w:r>
          </w:p>
          <w:p>
            <w:pPr>
              <w:pStyle w:val="TableParagraph"/>
              <w:spacing w:before="60"/>
              <w:ind w:right="92"/>
              <w:jc w:val="both"/>
              <w:rPr>
                <w:sz w:val="24"/>
              </w:rPr>
            </w:pPr>
            <w:r>
              <w:rPr>
                <w:sz w:val="24"/>
              </w:rPr>
              <w:t>The selected sub-area must be free of significant interference to lighting from trees, bus stops or parked vehicles and from background light levels caused by advertising boards or buildings.</w:t>
            </w:r>
          </w:p>
          <w:p>
            <w:pPr>
              <w:pStyle w:val="TableParagraph"/>
              <w:spacing w:before="60"/>
              <w:ind w:right="92"/>
              <w:jc w:val="both"/>
              <w:rPr>
                <w:sz w:val="24"/>
              </w:rPr>
            </w:pPr>
            <w:r>
              <w:rPr>
                <w:sz w:val="24"/>
              </w:rPr>
              <w:t>For M-class roads with luminance requirements, it shall be acceptable to provide illuminance data instead, if concerns about the effect of real road surface reflectivity deviating significantly from design assumptions are</w:t>
            </w:r>
            <w:r>
              <w:rPr>
                <w:spacing w:val="-2"/>
                <w:sz w:val="24"/>
              </w:rPr>
              <w:t> </w:t>
            </w:r>
            <w:r>
              <w:rPr>
                <w:sz w:val="24"/>
              </w:rPr>
              <w:t>justifiable.</w:t>
            </w:r>
          </w:p>
          <w:p>
            <w:pPr>
              <w:pStyle w:val="TableParagraph"/>
              <w:spacing w:before="60"/>
              <w:ind w:right="91"/>
              <w:jc w:val="both"/>
              <w:rPr>
                <w:sz w:val="24"/>
              </w:rPr>
            </w:pPr>
            <w:r>
              <w:rPr>
                <w:sz w:val="24"/>
              </w:rPr>
              <w:t>The parameters influencing the uncertainty in illuminance measurements mentioned in Annex F to EN 13201-4 should be considered. It is advisable to use automated illuminance measurement systems and to agree on the illuminance and data point tolerances before the project (±10 % is</w:t>
            </w:r>
            <w:r>
              <w:rPr>
                <w:spacing w:val="-6"/>
                <w:sz w:val="24"/>
              </w:rPr>
              <w:t> </w:t>
            </w:r>
            <w:r>
              <w:rPr>
                <w:sz w:val="24"/>
              </w:rPr>
              <w:t>suggested).</w:t>
            </w:r>
          </w:p>
          <w:p>
            <w:pPr>
              <w:pStyle w:val="TableParagraph"/>
              <w:spacing w:before="60"/>
              <w:ind w:right="89"/>
              <w:jc w:val="both"/>
              <w:rPr>
                <w:sz w:val="24"/>
              </w:rPr>
            </w:pPr>
            <w:r>
              <w:rPr>
                <w:sz w:val="24"/>
              </w:rPr>
              <w:t>During the same one-week period peak power [W] and energy consumption [kWh] shall be measured and/or calculated for the relevant light points.</w:t>
            </w:r>
          </w:p>
        </w:tc>
      </w:tr>
    </w:tbl>
    <w:p>
      <w:pPr>
        <w:spacing w:after="0"/>
        <w:jc w:val="both"/>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9"/>
        <w:gridCol w:w="7166"/>
      </w:tblGrid>
      <w:tr>
        <w:trPr>
          <w:trHeight w:val="5087" w:hRule="atLeast"/>
        </w:trPr>
        <w:tc>
          <w:tcPr>
            <w:tcW w:w="7339" w:type="dxa"/>
          </w:tcPr>
          <w:p>
            <w:pPr>
              <w:pStyle w:val="TableParagraph"/>
              <w:ind w:left="0"/>
              <w:rPr>
                <w:sz w:val="24"/>
              </w:rPr>
            </w:pPr>
          </w:p>
        </w:tc>
        <w:tc>
          <w:tcPr>
            <w:tcW w:w="7166" w:type="dxa"/>
          </w:tcPr>
          <w:p>
            <w:pPr>
              <w:pStyle w:val="TableParagraph"/>
              <w:ind w:right="89"/>
              <w:jc w:val="both"/>
              <w:rPr>
                <w:sz w:val="24"/>
              </w:rPr>
            </w:pPr>
            <w:r>
              <w:rPr>
                <w:sz w:val="24"/>
              </w:rPr>
              <w:t>The in-situ measured values of PDI and AECI shall be ±10 % of the design AECI value and ± 15 % of the design PDI value.</w:t>
            </w:r>
          </w:p>
          <w:p>
            <w:pPr>
              <w:pStyle w:val="TableParagraph"/>
              <w:spacing w:before="51"/>
              <w:ind w:right="96"/>
              <w:jc w:val="both"/>
              <w:rPr>
                <w:sz w:val="24"/>
              </w:rPr>
            </w:pPr>
            <w:r>
              <w:rPr>
                <w:sz w:val="24"/>
              </w:rPr>
              <w:t>Note: The consequences of non-compliance with the design values for PDI and/or AECI should be defined in the ITT. Options could include:</w:t>
            </w:r>
          </w:p>
          <w:p>
            <w:pPr>
              <w:pStyle w:val="TableParagraph"/>
              <w:numPr>
                <w:ilvl w:val="0"/>
                <w:numId w:val="28"/>
              </w:numPr>
              <w:tabs>
                <w:tab w:pos="471" w:val="left" w:leader="none"/>
              </w:tabs>
              <w:spacing w:line="220" w:lineRule="auto" w:before="96" w:after="0"/>
              <w:ind w:left="470" w:right="92" w:hanging="360"/>
              <w:jc w:val="both"/>
              <w:rPr>
                <w:sz w:val="24"/>
              </w:rPr>
            </w:pPr>
            <w:r>
              <w:rPr>
                <w:sz w:val="24"/>
              </w:rPr>
              <w:t>Remedial works to be undertaken at no additional cost to the procurer.</w:t>
            </w:r>
          </w:p>
          <w:p>
            <w:pPr>
              <w:pStyle w:val="TableParagraph"/>
              <w:numPr>
                <w:ilvl w:val="0"/>
                <w:numId w:val="28"/>
              </w:numPr>
              <w:tabs>
                <w:tab w:pos="471" w:val="left" w:leader="none"/>
              </w:tabs>
              <w:spacing w:line="230" w:lineRule="auto" w:before="93" w:after="0"/>
              <w:ind w:left="470" w:right="93" w:hanging="360"/>
              <w:jc w:val="both"/>
              <w:rPr>
                <w:sz w:val="24"/>
              </w:rPr>
            </w:pPr>
            <w:r>
              <w:rPr>
                <w:sz w:val="24"/>
              </w:rPr>
              <w:t>Financial penalties in proportion to the degree of non-compliance (perhaps related to foreseeable additional electricity costs over a defined period caused by the poorer performing</w:t>
            </w:r>
            <w:r>
              <w:rPr>
                <w:spacing w:val="-21"/>
                <w:sz w:val="24"/>
              </w:rPr>
              <w:t> </w:t>
            </w:r>
            <w:r>
              <w:rPr>
                <w:sz w:val="24"/>
              </w:rPr>
              <w:t>installation).</w:t>
            </w:r>
          </w:p>
          <w:p>
            <w:pPr>
              <w:pStyle w:val="TableParagraph"/>
              <w:spacing w:before="62"/>
              <w:ind w:right="91"/>
              <w:jc w:val="both"/>
              <w:rPr>
                <w:sz w:val="24"/>
              </w:rPr>
            </w:pPr>
            <w:r>
              <w:rPr>
                <w:sz w:val="24"/>
              </w:rPr>
              <w:t>In cases where non-compliance is disputed, the contractor may repeat the measurements on the same sub-area or, if it can be argued that the sub-area was not suitable for measurement, select another sub-area. The procurer shall not be liable for the cost burden of any additional measurements.</w:t>
            </w:r>
          </w:p>
          <w:p>
            <w:pPr>
              <w:pStyle w:val="TableParagraph"/>
              <w:spacing w:before="60"/>
              <w:ind w:right="94"/>
              <w:jc w:val="both"/>
              <w:rPr>
                <w:sz w:val="24"/>
              </w:rPr>
            </w:pPr>
            <w:r>
              <w:rPr>
                <w:sz w:val="24"/>
              </w:rPr>
              <w:t>If the performance is actually better than the design predictions, financial bonuses may apply if the procurer chooses to define them in the ITT.</w:t>
            </w:r>
          </w:p>
        </w:tc>
      </w:tr>
    </w:tbl>
    <w:p>
      <w:pPr>
        <w:spacing w:after="0"/>
        <w:jc w:val="both"/>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3"/>
        </w:numPr>
        <w:tabs>
          <w:tab w:pos="984" w:val="left" w:leader="none"/>
          <w:tab w:pos="985" w:val="left" w:leader="none"/>
        </w:tabs>
        <w:spacing w:line="240" w:lineRule="auto" w:before="246" w:after="0"/>
        <w:ind w:left="984" w:right="311" w:hanging="852"/>
        <w:jc w:val="left"/>
        <w:rPr>
          <w:b/>
          <w:sz w:val="28"/>
        </w:rPr>
      </w:pPr>
      <w:r>
        <w:rPr>
          <w:b/>
          <w:sz w:val="28"/>
        </w:rPr>
        <w:t>Low light pollution lighting equipment: technical specifications (TS), award criteria (AC) and associated contract performance clauses</w:t>
      </w:r>
      <w:r>
        <w:rPr>
          <w:b/>
          <w:spacing w:val="-3"/>
          <w:sz w:val="28"/>
        </w:rPr>
        <w:t> </w:t>
      </w:r>
      <w:r>
        <w:rPr>
          <w:b/>
          <w:sz w:val="28"/>
        </w:rPr>
        <w:t>(CPC)</w:t>
      </w:r>
    </w:p>
    <w:p>
      <w:pPr>
        <w:pStyle w:val="BodyText"/>
        <w:rPr>
          <w:b/>
          <w:sz w:val="20"/>
        </w:rPr>
      </w:pPr>
    </w:p>
    <w:p>
      <w:pPr>
        <w:pStyle w:val="BodyText"/>
        <w:spacing w:before="6"/>
        <w:rPr>
          <w:b/>
          <w:sz w:val="10"/>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95" w:hRule="atLeast"/>
        </w:trPr>
        <w:tc>
          <w:tcPr>
            <w:tcW w:w="14506" w:type="dxa"/>
            <w:shd w:val="clear" w:color="auto" w:fill="92D050"/>
          </w:tcPr>
          <w:p>
            <w:pPr>
              <w:pStyle w:val="TableParagraph"/>
              <w:spacing w:before="56"/>
              <w:ind w:left="5054" w:right="5037"/>
              <w:jc w:val="center"/>
              <w:rPr>
                <w:b/>
                <w:sz w:val="24"/>
              </w:rPr>
            </w:pPr>
            <w:r>
              <w:rPr>
                <w:b/>
                <w:sz w:val="24"/>
              </w:rPr>
              <w:t>SUBJECT MATTER</w:t>
            </w:r>
          </w:p>
        </w:tc>
      </w:tr>
      <w:tr>
        <w:trPr>
          <w:trHeight w:val="830" w:hRule="atLeast"/>
        </w:trPr>
        <w:tc>
          <w:tcPr>
            <w:tcW w:w="14506" w:type="dxa"/>
          </w:tcPr>
          <w:p>
            <w:pPr>
              <w:pStyle w:val="TableParagraph"/>
              <w:spacing w:line="268" w:lineRule="exact"/>
              <w:rPr>
                <w:sz w:val="24"/>
              </w:rPr>
            </w:pPr>
            <w:r>
              <w:rPr>
                <w:sz w:val="24"/>
              </w:rPr>
              <w:t>The criteria in section 3.4 relate specifically to the purchase of low light pollution road lighting equipment for: new lighting installations; the</w:t>
            </w:r>
          </w:p>
          <w:p>
            <w:pPr>
              <w:pStyle w:val="TableParagraph"/>
              <w:spacing w:line="270" w:lineRule="atLeast"/>
              <w:ind w:right="83"/>
              <w:rPr>
                <w:sz w:val="24"/>
              </w:rPr>
            </w:pPr>
            <w:r>
              <w:rPr>
                <w:sz w:val="24"/>
              </w:rPr>
              <w:t>refurbishment of existing lighting installations; the retrofitting of new luminaires to existing installations; or the retrofitting of new light sources or controls to existing luminaires.</w:t>
            </w:r>
          </w:p>
        </w:tc>
      </w:tr>
    </w:tbl>
    <w:p>
      <w:pPr>
        <w:pStyle w:val="BodyText"/>
        <w:rPr>
          <w:b/>
          <w:sz w:val="20"/>
        </w:rPr>
      </w:pPr>
    </w:p>
    <w:p>
      <w:pPr>
        <w:pStyle w:val="BodyText"/>
        <w:spacing w:before="3"/>
        <w:rPr>
          <w:b/>
          <w:sz w:val="10"/>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397" w:hRule="atLeast"/>
        </w:trPr>
        <w:tc>
          <w:tcPr>
            <w:tcW w:w="7253" w:type="dxa"/>
            <w:shd w:val="clear" w:color="auto" w:fill="FFC000"/>
          </w:tcPr>
          <w:p>
            <w:pPr>
              <w:pStyle w:val="TableParagraph"/>
              <w:spacing w:before="59"/>
              <w:ind w:left="2946" w:right="2931"/>
              <w:jc w:val="center"/>
              <w:rPr>
                <w:b/>
                <w:sz w:val="24"/>
              </w:rPr>
            </w:pPr>
            <w:r>
              <w:rPr>
                <w:b/>
                <w:sz w:val="24"/>
              </w:rPr>
              <w:t>Core criteria</w:t>
            </w:r>
          </w:p>
        </w:tc>
        <w:tc>
          <w:tcPr>
            <w:tcW w:w="7253" w:type="dxa"/>
            <w:shd w:val="clear" w:color="auto" w:fill="FFC000"/>
          </w:tcPr>
          <w:p>
            <w:pPr>
              <w:pStyle w:val="TableParagraph"/>
              <w:spacing w:before="59"/>
              <w:ind w:left="2416"/>
              <w:rPr>
                <w:b/>
                <w:sz w:val="24"/>
              </w:rPr>
            </w:pPr>
            <w:r>
              <w:rPr>
                <w:b/>
                <w:sz w:val="24"/>
              </w:rPr>
              <w:t>Comprehensive criteria</w:t>
            </w:r>
          </w:p>
        </w:tc>
      </w:tr>
      <w:tr>
        <w:trPr>
          <w:trHeight w:val="395" w:hRule="atLeast"/>
        </w:trPr>
        <w:tc>
          <w:tcPr>
            <w:tcW w:w="14506" w:type="dxa"/>
            <w:gridSpan w:val="2"/>
            <w:shd w:val="clear" w:color="auto" w:fill="92D050"/>
          </w:tcPr>
          <w:p>
            <w:pPr>
              <w:pStyle w:val="TableParagraph"/>
              <w:spacing w:before="56"/>
              <w:ind w:left="5050" w:right="5040"/>
              <w:jc w:val="center"/>
              <w:rPr>
                <w:b/>
                <w:sz w:val="24"/>
              </w:rPr>
            </w:pPr>
            <w:r>
              <w:rPr>
                <w:b/>
                <w:sz w:val="24"/>
              </w:rPr>
              <w:t>TECHNICAL SPECIFICATIONS</w:t>
            </w:r>
          </w:p>
        </w:tc>
      </w:tr>
      <w:tr>
        <w:trPr>
          <w:trHeight w:val="4182" w:hRule="atLeast"/>
        </w:trPr>
        <w:tc>
          <w:tcPr>
            <w:tcW w:w="7253" w:type="dxa"/>
          </w:tcPr>
          <w:p>
            <w:pPr>
              <w:pStyle w:val="TableParagraph"/>
              <w:spacing w:before="37"/>
              <w:rPr>
                <w:b/>
                <w:sz w:val="24"/>
              </w:rPr>
            </w:pPr>
            <w:r>
              <w:rPr>
                <w:b/>
                <w:sz w:val="24"/>
              </w:rPr>
              <w:t>TS7. Ratio of Upward Light Output (RULO) and obtrusive light</w:t>
            </w:r>
          </w:p>
          <w:p>
            <w:pPr>
              <w:pStyle w:val="TableParagraph"/>
              <w:spacing w:before="38"/>
              <w:rPr>
                <w:b/>
                <w:i/>
                <w:sz w:val="24"/>
              </w:rPr>
            </w:pPr>
            <w:r>
              <w:rPr>
                <w:b/>
                <w:i/>
                <w:sz w:val="24"/>
              </w:rPr>
              <w:t>(Applicable to all contracts where new luminaires are purchased.)</w:t>
            </w:r>
          </w:p>
          <w:p>
            <w:pPr>
              <w:pStyle w:val="TableParagraph"/>
              <w:spacing w:before="8"/>
              <w:ind w:left="0"/>
              <w:rPr>
                <w:b/>
                <w:sz w:val="30"/>
              </w:rPr>
            </w:pPr>
          </w:p>
          <w:p>
            <w:pPr>
              <w:pStyle w:val="TableParagraph"/>
              <w:rPr>
                <w:sz w:val="24"/>
              </w:rPr>
            </w:pPr>
            <w:r>
              <w:rPr>
                <w:sz w:val="24"/>
              </w:rPr>
              <w:t>All luminaire models purchased shall be rated with a 0.0 % RULO.</w:t>
            </w:r>
          </w:p>
          <w:p>
            <w:pPr>
              <w:pStyle w:val="TableParagraph"/>
              <w:spacing w:before="39"/>
              <w:ind w:right="91"/>
              <w:jc w:val="both"/>
              <w:rPr>
                <w:sz w:val="24"/>
              </w:rPr>
            </w:pPr>
            <w:r>
              <w:rPr>
                <w:sz w:val="24"/>
              </w:rPr>
              <w:t>If it is necessary to use a boom angle, either to optimise the pole distribution or due to site constraints in pole positioning, the 0.0 % RULO shall be maintained even when the luminaire is tilted at the required angle.</w:t>
            </w:r>
          </w:p>
          <w:p>
            <w:pPr>
              <w:pStyle w:val="TableParagraph"/>
              <w:spacing w:before="45"/>
              <w:rPr>
                <w:b/>
                <w:sz w:val="24"/>
              </w:rPr>
            </w:pPr>
            <w:r>
              <w:rPr>
                <w:b/>
                <w:sz w:val="24"/>
              </w:rPr>
              <w:t>Verification:</w:t>
            </w:r>
          </w:p>
          <w:p>
            <w:pPr>
              <w:pStyle w:val="TableParagraph"/>
              <w:spacing w:before="34"/>
              <w:ind w:right="95"/>
              <w:jc w:val="both"/>
              <w:rPr>
                <w:sz w:val="24"/>
              </w:rPr>
            </w:pPr>
            <w:r>
              <w:rPr>
                <w:sz w:val="24"/>
              </w:rPr>
              <w:t>The tenderer shall provide the photometric file(s). This shall include the photometric intensity table from which the RULO is calculated according to EN 13032-1, EN 13032-2, EN 13032-4, Annex D of </w:t>
            </w:r>
            <w:r>
              <w:rPr>
                <w:spacing w:val="-3"/>
                <w:sz w:val="24"/>
              </w:rPr>
              <w:t>IEC </w:t>
            </w:r>
            <w:r>
              <w:rPr>
                <w:sz w:val="24"/>
              </w:rPr>
              <w:t>62722-1 or other relevant international</w:t>
            </w:r>
            <w:r>
              <w:rPr>
                <w:spacing w:val="-7"/>
                <w:sz w:val="24"/>
              </w:rPr>
              <w:t> </w:t>
            </w:r>
            <w:r>
              <w:rPr>
                <w:sz w:val="24"/>
              </w:rPr>
              <w:t>standards.</w:t>
            </w:r>
          </w:p>
          <w:p>
            <w:pPr>
              <w:pStyle w:val="TableParagraph"/>
              <w:spacing w:line="264" w:lineRule="exact" w:before="41"/>
              <w:jc w:val="both"/>
              <w:rPr>
                <w:sz w:val="24"/>
              </w:rPr>
            </w:pPr>
            <w:r>
              <w:rPr>
                <w:sz w:val="24"/>
              </w:rPr>
              <w:t>In cases where luminaires are not installed horizontally, the photometric</w:t>
            </w:r>
          </w:p>
        </w:tc>
        <w:tc>
          <w:tcPr>
            <w:tcW w:w="7253" w:type="dxa"/>
          </w:tcPr>
          <w:p>
            <w:pPr>
              <w:pStyle w:val="TableParagraph"/>
              <w:spacing w:line="252" w:lineRule="auto" w:before="37"/>
              <w:ind w:left="107"/>
              <w:rPr>
                <w:b/>
                <w:i/>
                <w:sz w:val="24"/>
              </w:rPr>
            </w:pPr>
            <w:r>
              <w:rPr>
                <w:b/>
                <w:sz w:val="24"/>
              </w:rPr>
              <w:t>TS7. Ratio of Upward Light Output (RULO) and obtrusive light </w:t>
            </w:r>
            <w:r>
              <w:rPr>
                <w:b/>
                <w:i/>
                <w:sz w:val="24"/>
              </w:rPr>
              <w:t>(Applicable to all contracts where new luminaires are purchased. In </w:t>
            </w:r>
            <w:r>
              <w:rPr>
                <w:b/>
                <w:i/>
                <w:sz w:val="24"/>
              </w:rPr>
              <w:t>situations where glare or obtrusive light is a concern, procurers should consider specifying a requirement for C3 flux codes.)</w:t>
            </w:r>
          </w:p>
          <w:p>
            <w:pPr>
              <w:pStyle w:val="TableParagraph"/>
              <w:spacing w:before="2"/>
              <w:ind w:left="0"/>
              <w:rPr>
                <w:b/>
                <w:sz w:val="29"/>
              </w:rPr>
            </w:pPr>
          </w:p>
          <w:p>
            <w:pPr>
              <w:pStyle w:val="TableParagraph"/>
              <w:spacing w:before="1"/>
              <w:ind w:left="107"/>
              <w:rPr>
                <w:sz w:val="24"/>
              </w:rPr>
            </w:pPr>
            <w:r>
              <w:rPr>
                <w:sz w:val="24"/>
              </w:rPr>
              <w:t>All luminaire models purchased shall be rated with a 0.0 % RULO and with a C3 flux code of ≥97 according to photometric data.</w:t>
            </w:r>
          </w:p>
          <w:p>
            <w:pPr>
              <w:pStyle w:val="TableParagraph"/>
              <w:spacing w:before="38"/>
              <w:ind w:left="107" w:right="94"/>
              <w:jc w:val="both"/>
              <w:rPr>
                <w:sz w:val="24"/>
              </w:rPr>
            </w:pPr>
            <w:r>
              <w:rPr>
                <w:sz w:val="24"/>
              </w:rPr>
              <w:t>If it is necessary to use a boom angle, either to optimise the pole distribution or due to site constraints in pole positioning, the 0.0 % RULO shall be maintained even when the luminaire is tilted at the required angle.</w:t>
            </w:r>
          </w:p>
          <w:p>
            <w:pPr>
              <w:pStyle w:val="TableParagraph"/>
              <w:spacing w:before="46"/>
              <w:ind w:left="107"/>
              <w:rPr>
                <w:b/>
                <w:sz w:val="24"/>
              </w:rPr>
            </w:pPr>
            <w:r>
              <w:rPr>
                <w:b/>
                <w:sz w:val="24"/>
              </w:rPr>
              <w:t>Verification:</w:t>
            </w:r>
          </w:p>
          <w:p>
            <w:pPr>
              <w:pStyle w:val="TableParagraph"/>
              <w:spacing w:before="33"/>
              <w:ind w:left="107"/>
              <w:rPr>
                <w:sz w:val="24"/>
              </w:rPr>
            </w:pPr>
            <w:r>
              <w:rPr>
                <w:sz w:val="24"/>
              </w:rPr>
              <w:t>The tenderer shall provide the photometric file(s). This shall include the photometric intensity table from which the RULO is calculated</w:t>
            </w:r>
          </w:p>
        </w:tc>
      </w:tr>
    </w:tbl>
    <w:p>
      <w:pPr>
        <w:spacing w:after="0"/>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644" w:hRule="atLeast"/>
        </w:trPr>
        <w:tc>
          <w:tcPr>
            <w:tcW w:w="7253" w:type="dxa"/>
          </w:tcPr>
          <w:p>
            <w:pPr>
              <w:pStyle w:val="TableParagraph"/>
              <w:spacing w:line="268" w:lineRule="exact"/>
              <w:rPr>
                <w:sz w:val="24"/>
              </w:rPr>
            </w:pPr>
            <w:r>
              <w:rPr>
                <w:sz w:val="24"/>
              </w:rPr>
              <w:t>file shall demonstrate that either:</w:t>
            </w:r>
          </w:p>
          <w:p>
            <w:pPr>
              <w:pStyle w:val="TableParagraph"/>
              <w:numPr>
                <w:ilvl w:val="0"/>
                <w:numId w:val="29"/>
              </w:numPr>
              <w:tabs>
                <w:tab w:pos="258" w:val="left" w:leader="none"/>
              </w:tabs>
              <w:spacing w:line="240" w:lineRule="auto" w:before="41" w:after="0"/>
              <w:ind w:left="110" w:right="92" w:firstLine="0"/>
              <w:jc w:val="both"/>
              <w:rPr>
                <w:sz w:val="24"/>
              </w:rPr>
            </w:pPr>
            <w:r>
              <w:rPr>
                <w:sz w:val="24"/>
              </w:rPr>
              <w:t>tilting the data by the same tilt angle to be used with the luminaire still results in a 0.0 % RULO,</w:t>
            </w:r>
            <w:r>
              <w:rPr>
                <w:spacing w:val="-5"/>
                <w:sz w:val="24"/>
              </w:rPr>
              <w:t> </w:t>
            </w:r>
            <w:r>
              <w:rPr>
                <w:sz w:val="24"/>
              </w:rPr>
              <w:t>or</w:t>
            </w:r>
          </w:p>
          <w:p>
            <w:pPr>
              <w:pStyle w:val="TableParagraph"/>
              <w:numPr>
                <w:ilvl w:val="0"/>
                <w:numId w:val="29"/>
              </w:numPr>
              <w:tabs>
                <w:tab w:pos="282" w:val="left" w:leader="none"/>
              </w:tabs>
              <w:spacing w:line="240" w:lineRule="auto" w:before="38" w:after="0"/>
              <w:ind w:left="110" w:right="92" w:firstLine="0"/>
              <w:jc w:val="both"/>
              <w:rPr>
                <w:sz w:val="24"/>
              </w:rPr>
            </w:pPr>
            <w:r>
              <w:rPr>
                <w:sz w:val="24"/>
              </w:rPr>
              <w:t>additional shielding has been fitted to the luminaire and the shielded luminaire found to show a 0.0 % RULO when tilted at the design installation</w:t>
            </w:r>
            <w:r>
              <w:rPr>
                <w:spacing w:val="-1"/>
                <w:sz w:val="24"/>
              </w:rPr>
              <w:t> </w:t>
            </w:r>
            <w:r>
              <w:rPr>
                <w:sz w:val="24"/>
              </w:rPr>
              <w:t>angle.</w:t>
            </w:r>
          </w:p>
        </w:tc>
        <w:tc>
          <w:tcPr>
            <w:tcW w:w="7253" w:type="dxa"/>
          </w:tcPr>
          <w:p>
            <w:pPr>
              <w:pStyle w:val="TableParagraph"/>
              <w:ind w:left="107" w:right="98"/>
              <w:jc w:val="both"/>
              <w:rPr>
                <w:sz w:val="24"/>
              </w:rPr>
            </w:pPr>
            <w:r>
              <w:rPr>
                <w:sz w:val="24"/>
              </w:rPr>
              <w:t>according to EN 13032-1, EN 13032-2, EN 13032-4, Annex D of IEC 62722-1 or other relevant international standards.</w:t>
            </w:r>
          </w:p>
          <w:p>
            <w:pPr>
              <w:pStyle w:val="TableParagraph"/>
              <w:spacing w:before="32"/>
              <w:ind w:left="107" w:right="98"/>
              <w:jc w:val="both"/>
              <w:rPr>
                <w:sz w:val="24"/>
              </w:rPr>
            </w:pPr>
            <w:r>
              <w:rPr>
                <w:sz w:val="24"/>
              </w:rPr>
              <w:t>In cases where luminaires are not installed horizontally, the photometric file shall demonstrate that either:</w:t>
            </w:r>
          </w:p>
          <w:p>
            <w:pPr>
              <w:pStyle w:val="TableParagraph"/>
              <w:numPr>
                <w:ilvl w:val="0"/>
                <w:numId w:val="30"/>
              </w:numPr>
              <w:tabs>
                <w:tab w:pos="256" w:val="left" w:leader="none"/>
              </w:tabs>
              <w:spacing w:line="240" w:lineRule="auto" w:before="39" w:after="0"/>
              <w:ind w:left="107" w:right="93" w:firstLine="0"/>
              <w:jc w:val="both"/>
              <w:rPr>
                <w:sz w:val="24"/>
              </w:rPr>
            </w:pPr>
            <w:r>
              <w:rPr>
                <w:sz w:val="24"/>
              </w:rPr>
              <w:t>tilting the data by the same tilt angle to be used with the luminaire still results in a 0.0 % RULO and a C3 flux code of ≥97,</w:t>
            </w:r>
            <w:r>
              <w:rPr>
                <w:spacing w:val="-15"/>
                <w:sz w:val="24"/>
              </w:rPr>
              <w:t> </w:t>
            </w:r>
            <w:r>
              <w:rPr>
                <w:sz w:val="24"/>
              </w:rPr>
              <w:t>or</w:t>
            </w:r>
          </w:p>
          <w:p>
            <w:pPr>
              <w:pStyle w:val="TableParagraph"/>
              <w:numPr>
                <w:ilvl w:val="0"/>
                <w:numId w:val="30"/>
              </w:numPr>
              <w:tabs>
                <w:tab w:pos="279" w:val="left" w:leader="none"/>
              </w:tabs>
              <w:spacing w:line="240" w:lineRule="auto" w:before="41" w:after="0"/>
              <w:ind w:left="107" w:right="99" w:firstLine="0"/>
              <w:jc w:val="both"/>
              <w:rPr>
                <w:sz w:val="24"/>
              </w:rPr>
            </w:pPr>
            <w:r>
              <w:rPr>
                <w:sz w:val="24"/>
              </w:rPr>
              <w:t>additional shielding has been fitted to the luminaire and the shielded luminaire found to show a 0.0 % RULO and a C3 flux code of ≥97 when tilted at the design installation</w:t>
            </w:r>
            <w:r>
              <w:rPr>
                <w:spacing w:val="-2"/>
                <w:sz w:val="24"/>
              </w:rPr>
              <w:t> </w:t>
            </w:r>
            <w:r>
              <w:rPr>
                <w:sz w:val="24"/>
              </w:rPr>
              <w:t>angle.</w:t>
            </w:r>
          </w:p>
        </w:tc>
      </w:tr>
      <w:tr>
        <w:trPr>
          <w:trHeight w:val="3808" w:hRule="atLeast"/>
        </w:trPr>
        <w:tc>
          <w:tcPr>
            <w:tcW w:w="14506" w:type="dxa"/>
            <w:gridSpan w:val="2"/>
          </w:tcPr>
          <w:p>
            <w:pPr>
              <w:pStyle w:val="TableParagraph"/>
              <w:spacing w:before="37"/>
              <w:rPr>
                <w:b/>
                <w:sz w:val="24"/>
              </w:rPr>
            </w:pPr>
            <w:r>
              <w:rPr>
                <w:b/>
                <w:sz w:val="24"/>
              </w:rPr>
              <w:t>TS8. Annoyance</w:t>
            </w:r>
          </w:p>
          <w:p>
            <w:pPr>
              <w:pStyle w:val="TableParagraph"/>
              <w:spacing w:before="38"/>
              <w:rPr>
                <w:b/>
                <w:i/>
                <w:sz w:val="24"/>
              </w:rPr>
            </w:pPr>
            <w:r>
              <w:rPr>
                <w:b/>
                <w:i/>
                <w:sz w:val="24"/>
              </w:rPr>
              <w:t>(The CCT value is directly related to human perception and so should be specified when human annoyance is a concern.)</w:t>
            </w:r>
          </w:p>
          <w:p>
            <w:pPr>
              <w:pStyle w:val="TableParagraph"/>
              <w:spacing w:before="36"/>
              <w:rPr>
                <w:i/>
                <w:sz w:val="24"/>
              </w:rPr>
            </w:pPr>
            <w:r>
              <w:rPr>
                <w:i/>
                <w:sz w:val="24"/>
              </w:rPr>
              <w:t>(Same for core and comprehensive criteria.)</w:t>
            </w:r>
          </w:p>
          <w:p>
            <w:pPr>
              <w:pStyle w:val="TableParagraph"/>
              <w:ind w:left="0"/>
              <w:rPr>
                <w:sz w:val="38"/>
              </w:rPr>
            </w:pPr>
          </w:p>
          <w:p>
            <w:pPr>
              <w:pStyle w:val="TableParagraph"/>
              <w:ind w:right="83"/>
              <w:rPr>
                <w:sz w:val="24"/>
              </w:rPr>
            </w:pPr>
            <w:r>
              <w:rPr>
                <w:sz w:val="24"/>
              </w:rPr>
              <w:t>In residential areas, in order to reduce the risk of human annoyance, the CCT of light sources shall be ≤3000K and a dimming or switch-off programme shall be implemented*.</w:t>
            </w:r>
          </w:p>
          <w:p>
            <w:pPr>
              <w:pStyle w:val="TableParagraph"/>
              <w:spacing w:before="44"/>
              <w:rPr>
                <w:b/>
                <w:sz w:val="24"/>
              </w:rPr>
            </w:pPr>
            <w:r>
              <w:rPr>
                <w:b/>
                <w:sz w:val="24"/>
              </w:rPr>
              <w:t>Verification:</w:t>
            </w:r>
          </w:p>
          <w:p>
            <w:pPr>
              <w:pStyle w:val="TableParagraph"/>
              <w:spacing w:line="273" w:lineRule="auto" w:before="36"/>
              <w:ind w:right="6082"/>
              <w:rPr>
                <w:sz w:val="24"/>
              </w:rPr>
            </w:pPr>
            <w:r>
              <w:rPr>
                <w:sz w:val="24"/>
              </w:rPr>
              <w:t>If requested, the tenderer shall provide the light spectra of all lamps to be provided. The tenderer shall provide measurements of CCT reported in accordance with CIE 15.</w:t>
            </w:r>
          </w:p>
          <w:p>
            <w:pPr>
              <w:pStyle w:val="TableParagraph"/>
              <w:spacing w:before="2"/>
              <w:ind w:right="142"/>
              <w:rPr>
                <w:sz w:val="24"/>
              </w:rPr>
            </w:pPr>
            <w:r>
              <w:rPr>
                <w:sz w:val="24"/>
              </w:rPr>
              <w:t>With dimming, the tenderer shall provide details of the proposed dimming controls and the range of dimming capabilities, which shall at least permit dimming or switch-off based on an astronomical</w:t>
            </w:r>
            <w:r>
              <w:rPr>
                <w:spacing w:val="-5"/>
                <w:sz w:val="24"/>
              </w:rPr>
              <w:t> </w:t>
            </w:r>
            <w:r>
              <w:rPr>
                <w:sz w:val="24"/>
              </w:rPr>
              <w:t>clock.</w:t>
            </w:r>
          </w:p>
          <w:p>
            <w:pPr>
              <w:pStyle w:val="TableParagraph"/>
              <w:spacing w:before="42"/>
              <w:rPr>
                <w:i/>
                <w:sz w:val="22"/>
              </w:rPr>
            </w:pPr>
            <w:r>
              <w:rPr>
                <w:i/>
                <w:sz w:val="22"/>
              </w:rPr>
              <w:t>*As per the procurer’s specifications (potentially defined in TS3 if that is included in the ITT).</w:t>
            </w:r>
          </w:p>
        </w:tc>
      </w:tr>
    </w:tbl>
    <w:p>
      <w:pPr>
        <w:spacing w:after="0"/>
        <w:rPr>
          <w:sz w:val="22"/>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7602" w:hRule="atLeast"/>
        </w:trPr>
        <w:tc>
          <w:tcPr>
            <w:tcW w:w="7253" w:type="dxa"/>
          </w:tcPr>
          <w:p>
            <w:pPr>
              <w:pStyle w:val="TableParagraph"/>
              <w:spacing w:before="37"/>
              <w:rPr>
                <w:b/>
                <w:sz w:val="24"/>
              </w:rPr>
            </w:pPr>
            <w:r>
              <w:rPr>
                <w:b/>
                <w:sz w:val="24"/>
              </w:rPr>
              <w:t>TS9. Ecological light pollution and star visibility</w:t>
            </w:r>
          </w:p>
          <w:p>
            <w:pPr>
              <w:pStyle w:val="TableParagraph"/>
              <w:spacing w:before="38"/>
              <w:ind w:right="91"/>
              <w:jc w:val="both"/>
              <w:rPr>
                <w:b/>
                <w:i/>
                <w:sz w:val="24"/>
              </w:rPr>
            </w:pPr>
            <w:r>
              <w:rPr>
                <w:b/>
                <w:i/>
                <w:sz w:val="24"/>
              </w:rPr>
              <w:t>(The G-index value is directly related to blue light content, and so </w:t>
            </w:r>
            <w:r>
              <w:rPr>
                <w:b/>
                <w:i/>
                <w:sz w:val="24"/>
              </w:rPr>
              <w:t>should be specified when light pollution effects on wildlife or on star visibility are a concern.)</w:t>
            </w:r>
          </w:p>
          <w:p>
            <w:pPr>
              <w:pStyle w:val="TableParagraph"/>
              <w:spacing w:before="8"/>
              <w:ind w:left="0"/>
              <w:rPr>
                <w:sz w:val="30"/>
              </w:rPr>
            </w:pPr>
          </w:p>
          <w:p>
            <w:pPr>
              <w:pStyle w:val="TableParagraph"/>
              <w:ind w:right="87"/>
              <w:jc w:val="both"/>
              <w:rPr>
                <w:sz w:val="24"/>
              </w:rPr>
            </w:pPr>
            <w:r>
              <w:rPr>
                <w:sz w:val="24"/>
              </w:rPr>
              <w:t>In parks, gardens and areas considered by the procurer to be ecologically sensitive, the G-index shall be ≥1.5*.</w:t>
            </w:r>
          </w:p>
          <w:p>
            <w:pPr>
              <w:pStyle w:val="TableParagraph"/>
              <w:spacing w:before="39"/>
              <w:ind w:right="96"/>
              <w:jc w:val="both"/>
              <w:rPr>
                <w:sz w:val="24"/>
              </w:rPr>
            </w:pPr>
            <w:r>
              <w:rPr>
                <w:sz w:val="24"/>
              </w:rPr>
              <w:t>A dimming programme** shall be implemented for parks and gardens that are open during night-time hours.</w:t>
            </w:r>
          </w:p>
          <w:p>
            <w:pPr>
              <w:pStyle w:val="TableParagraph"/>
              <w:spacing w:before="41"/>
              <w:ind w:right="95"/>
              <w:jc w:val="both"/>
              <w:rPr>
                <w:sz w:val="24"/>
              </w:rPr>
            </w:pPr>
            <w:r>
              <w:rPr>
                <w:sz w:val="24"/>
              </w:rPr>
              <w:t>A switch-off programme shall apply to any relevant closing hours for parks and gardens.</w:t>
            </w:r>
          </w:p>
          <w:p>
            <w:pPr>
              <w:pStyle w:val="TableParagraph"/>
              <w:spacing w:before="41"/>
              <w:ind w:right="93"/>
              <w:jc w:val="both"/>
              <w:rPr>
                <w:sz w:val="24"/>
              </w:rPr>
            </w:pPr>
            <w:r>
              <w:rPr>
                <w:sz w:val="24"/>
              </w:rPr>
              <w:t>A dimming and/or switch-off programme** shall be implemented for any other ecologically sensitive</w:t>
            </w:r>
            <w:r>
              <w:rPr>
                <w:spacing w:val="-12"/>
                <w:sz w:val="24"/>
              </w:rPr>
              <w:t> </w:t>
            </w:r>
            <w:r>
              <w:rPr>
                <w:sz w:val="24"/>
              </w:rPr>
              <w:t>areas.</w:t>
            </w:r>
          </w:p>
          <w:p>
            <w:pPr>
              <w:pStyle w:val="TableParagraph"/>
              <w:spacing w:before="3"/>
              <w:ind w:left="0"/>
              <w:rPr>
                <w:sz w:val="31"/>
              </w:rPr>
            </w:pPr>
          </w:p>
          <w:p>
            <w:pPr>
              <w:pStyle w:val="TableParagraph"/>
              <w:rPr>
                <w:b/>
                <w:sz w:val="24"/>
              </w:rPr>
            </w:pPr>
            <w:r>
              <w:rPr>
                <w:b/>
                <w:sz w:val="24"/>
              </w:rPr>
              <w:t>Verification:</w:t>
            </w:r>
          </w:p>
          <w:p>
            <w:pPr>
              <w:pStyle w:val="TableParagraph"/>
              <w:spacing w:before="36"/>
              <w:rPr>
                <w:sz w:val="24"/>
              </w:rPr>
            </w:pPr>
            <w:r>
              <w:rPr>
                <w:sz w:val="24"/>
              </w:rPr>
              <w:t>The tenderer shall provide measurements of the G-index***.</w:t>
            </w:r>
          </w:p>
          <w:p>
            <w:pPr>
              <w:pStyle w:val="TableParagraph"/>
              <w:spacing w:before="1"/>
              <w:ind w:left="0"/>
              <w:rPr>
                <w:sz w:val="31"/>
              </w:rPr>
            </w:pPr>
          </w:p>
          <w:p>
            <w:pPr>
              <w:pStyle w:val="TableParagraph"/>
              <w:ind w:right="91"/>
              <w:jc w:val="both"/>
              <w:rPr>
                <w:i/>
                <w:sz w:val="22"/>
              </w:rPr>
            </w:pPr>
            <w:r>
              <w:rPr>
                <w:i/>
                <w:sz w:val="22"/>
              </w:rPr>
              <w:t>*If it is not possible to calculate the G-index, CCT may be used as an </w:t>
            </w:r>
            <w:r>
              <w:rPr>
                <w:i/>
                <w:sz w:val="22"/>
              </w:rPr>
              <w:t>orientation, it always being understood that its use as a metric for blue light is not perfect. A G-index of ≥1.5 would generally (but not always) equate to a CCT of ≤3000K.</w:t>
            </w:r>
          </w:p>
          <w:p>
            <w:pPr>
              <w:pStyle w:val="TableParagraph"/>
              <w:spacing w:before="39"/>
              <w:ind w:right="90"/>
              <w:jc w:val="both"/>
              <w:rPr>
                <w:i/>
                <w:sz w:val="22"/>
              </w:rPr>
            </w:pPr>
            <w:r>
              <w:rPr>
                <w:i/>
                <w:sz w:val="22"/>
              </w:rPr>
              <w:t>**As per the procurer’s specifications (potentially defined in TS3 if that is </w:t>
            </w:r>
            <w:r>
              <w:rPr>
                <w:i/>
                <w:sz w:val="22"/>
              </w:rPr>
              <w:t>included in the ITT).</w:t>
            </w:r>
          </w:p>
          <w:p>
            <w:pPr>
              <w:pStyle w:val="TableParagraph"/>
              <w:spacing w:before="41"/>
              <w:ind w:right="91"/>
              <w:jc w:val="both"/>
              <w:rPr>
                <w:i/>
                <w:sz w:val="22"/>
              </w:rPr>
            </w:pPr>
            <w:r>
              <w:rPr>
                <w:i/>
                <w:sz w:val="22"/>
              </w:rPr>
              <w:t>***The G-index can be quickly and easily calculated using the same </w:t>
            </w:r>
            <w:r>
              <w:rPr>
                <w:i/>
                <w:sz w:val="22"/>
              </w:rPr>
              <w:t>photometric data used to calculate the CCT via an excel spreadsheet available at this website:</w:t>
            </w:r>
          </w:p>
        </w:tc>
        <w:tc>
          <w:tcPr>
            <w:tcW w:w="7253" w:type="dxa"/>
          </w:tcPr>
          <w:p>
            <w:pPr>
              <w:pStyle w:val="TableParagraph"/>
              <w:spacing w:before="37"/>
              <w:ind w:left="107"/>
              <w:rPr>
                <w:b/>
                <w:sz w:val="24"/>
              </w:rPr>
            </w:pPr>
            <w:r>
              <w:rPr>
                <w:b/>
                <w:sz w:val="24"/>
              </w:rPr>
              <w:t>TS9. Ecological light pollution and star visibility</w:t>
            </w:r>
          </w:p>
          <w:p>
            <w:pPr>
              <w:pStyle w:val="TableParagraph"/>
              <w:spacing w:before="38"/>
              <w:ind w:left="107" w:right="93"/>
              <w:jc w:val="both"/>
              <w:rPr>
                <w:b/>
                <w:i/>
                <w:sz w:val="24"/>
              </w:rPr>
            </w:pPr>
            <w:r>
              <w:rPr>
                <w:b/>
                <w:i/>
                <w:sz w:val="24"/>
              </w:rPr>
              <w:t>(The G-index value is directly related to blue light content, and so </w:t>
            </w:r>
            <w:r>
              <w:rPr>
                <w:b/>
                <w:i/>
                <w:sz w:val="24"/>
              </w:rPr>
              <w:t>should be specified when light pollution effects on wildlife or on star visibility are a concern. Procurers should be aware that luminaires complying with this requirement are unlikely to meet TS1 for luminaire</w:t>
            </w:r>
            <w:r>
              <w:rPr>
                <w:b/>
                <w:i/>
                <w:spacing w:val="-2"/>
                <w:sz w:val="24"/>
              </w:rPr>
              <w:t> </w:t>
            </w:r>
            <w:r>
              <w:rPr>
                <w:b/>
                <w:i/>
                <w:sz w:val="24"/>
              </w:rPr>
              <w:t>efficacy.)</w:t>
            </w:r>
          </w:p>
          <w:p>
            <w:pPr>
              <w:pStyle w:val="TableParagraph"/>
              <w:spacing w:before="8"/>
              <w:ind w:left="0"/>
              <w:rPr>
                <w:sz w:val="30"/>
              </w:rPr>
            </w:pPr>
          </w:p>
          <w:p>
            <w:pPr>
              <w:pStyle w:val="TableParagraph"/>
              <w:ind w:left="107" w:right="94"/>
              <w:jc w:val="both"/>
              <w:rPr>
                <w:sz w:val="24"/>
              </w:rPr>
            </w:pPr>
            <w:r>
              <w:rPr>
                <w:sz w:val="24"/>
              </w:rPr>
              <w:t>In parks, gardens, areas considered by the procurer to be ecologically sensitive or any area within a 30km radius of an urban optical astronomy observatory or within a 100km radius of a major optical astronomy observatory, the G-index shall be ≥2.0*.</w:t>
            </w:r>
          </w:p>
          <w:p>
            <w:pPr>
              <w:pStyle w:val="TableParagraph"/>
              <w:spacing w:before="39"/>
              <w:ind w:left="107" w:right="99"/>
              <w:jc w:val="both"/>
              <w:rPr>
                <w:sz w:val="24"/>
              </w:rPr>
            </w:pPr>
            <w:r>
              <w:rPr>
                <w:sz w:val="24"/>
              </w:rPr>
              <w:t>A dimming programme** shall be implemented for parks and gardens that are open during night-time hours.</w:t>
            </w:r>
          </w:p>
          <w:p>
            <w:pPr>
              <w:pStyle w:val="TableParagraph"/>
              <w:spacing w:before="41"/>
              <w:ind w:left="107" w:right="97"/>
              <w:jc w:val="both"/>
              <w:rPr>
                <w:sz w:val="24"/>
              </w:rPr>
            </w:pPr>
            <w:r>
              <w:rPr>
                <w:sz w:val="24"/>
              </w:rPr>
              <w:t>A switch-off programme shall apply to any relevant closing hours for parks and gardens.</w:t>
            </w:r>
          </w:p>
          <w:p>
            <w:pPr>
              <w:pStyle w:val="TableParagraph"/>
              <w:spacing w:before="41"/>
              <w:ind w:left="107" w:right="94"/>
              <w:jc w:val="both"/>
              <w:rPr>
                <w:sz w:val="24"/>
              </w:rPr>
            </w:pPr>
            <w:r>
              <w:rPr>
                <w:sz w:val="24"/>
              </w:rPr>
              <w:t>A dimming and/or switch-off programme** shall be implemented for any other ecologically sensitive areas or areas within the defined radii of relevant optical</w:t>
            </w:r>
            <w:r>
              <w:rPr>
                <w:spacing w:val="-3"/>
                <w:sz w:val="24"/>
              </w:rPr>
              <w:t> </w:t>
            </w:r>
            <w:r>
              <w:rPr>
                <w:sz w:val="24"/>
              </w:rPr>
              <w:t>observatories.</w:t>
            </w:r>
          </w:p>
          <w:p>
            <w:pPr>
              <w:pStyle w:val="TableParagraph"/>
              <w:spacing w:before="3"/>
              <w:ind w:left="0"/>
              <w:rPr>
                <w:sz w:val="31"/>
              </w:rPr>
            </w:pPr>
          </w:p>
          <w:p>
            <w:pPr>
              <w:pStyle w:val="TableParagraph"/>
              <w:ind w:left="107"/>
              <w:rPr>
                <w:b/>
                <w:sz w:val="24"/>
              </w:rPr>
            </w:pPr>
            <w:r>
              <w:rPr>
                <w:b/>
                <w:sz w:val="24"/>
              </w:rPr>
              <w:t>Verification:</w:t>
            </w:r>
          </w:p>
          <w:p>
            <w:pPr>
              <w:pStyle w:val="TableParagraph"/>
              <w:spacing w:before="36"/>
              <w:ind w:left="107"/>
              <w:rPr>
                <w:sz w:val="24"/>
              </w:rPr>
            </w:pPr>
            <w:r>
              <w:rPr>
                <w:sz w:val="24"/>
              </w:rPr>
              <w:t>The tenderer shall provide measurements of the G-index***.</w:t>
            </w:r>
          </w:p>
          <w:p>
            <w:pPr>
              <w:pStyle w:val="TableParagraph"/>
              <w:spacing w:before="1"/>
              <w:ind w:left="0"/>
              <w:rPr>
                <w:sz w:val="31"/>
              </w:rPr>
            </w:pPr>
          </w:p>
          <w:p>
            <w:pPr>
              <w:pStyle w:val="TableParagraph"/>
              <w:ind w:left="107" w:right="93"/>
              <w:jc w:val="both"/>
              <w:rPr>
                <w:i/>
                <w:sz w:val="22"/>
              </w:rPr>
            </w:pPr>
            <w:r>
              <w:rPr>
                <w:i/>
                <w:sz w:val="22"/>
              </w:rPr>
              <w:t>*If it is not possible to calculate the G-index, CCT may be used as an </w:t>
            </w:r>
            <w:r>
              <w:rPr>
                <w:i/>
                <w:sz w:val="22"/>
              </w:rPr>
              <w:t>orientation, it always being understood that its use as a metric for blue light is not perfect. A G-index of ≥2.0 would generally (but not always) equate to a CCT of ≤2700K.</w:t>
            </w:r>
          </w:p>
        </w:tc>
      </w:tr>
    </w:tbl>
    <w:p>
      <w:pPr>
        <w:spacing w:after="0"/>
        <w:jc w:val="both"/>
        <w:rPr>
          <w:sz w:val="22"/>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1717" w:hRule="atLeast"/>
        </w:trPr>
        <w:tc>
          <w:tcPr>
            <w:tcW w:w="7253" w:type="dxa"/>
          </w:tcPr>
          <w:p>
            <w:pPr>
              <w:pStyle w:val="TableParagraph"/>
              <w:spacing w:line="247" w:lineRule="exact"/>
              <w:rPr>
                <w:i/>
                <w:sz w:val="22"/>
              </w:rPr>
            </w:pPr>
            <w:hyperlink r:id="rId8">
              <w:r>
                <w:rPr>
                  <w:i/>
                  <w:color w:val="0000FF"/>
                  <w:sz w:val="22"/>
                  <w:u w:val="single" w:color="0000FF"/>
                </w:rPr>
                <w:t>http://www.juntadeandalucia.es/medioambiente/cieloandaluzindiceg</w:t>
              </w:r>
            </w:hyperlink>
          </w:p>
        </w:tc>
        <w:tc>
          <w:tcPr>
            <w:tcW w:w="7253" w:type="dxa"/>
          </w:tcPr>
          <w:p>
            <w:pPr>
              <w:pStyle w:val="TableParagraph"/>
              <w:spacing w:line="242" w:lineRule="auto"/>
              <w:ind w:left="107" w:right="93"/>
              <w:jc w:val="both"/>
              <w:rPr>
                <w:i/>
                <w:sz w:val="22"/>
              </w:rPr>
            </w:pPr>
            <w:r>
              <w:rPr>
                <w:i/>
                <w:sz w:val="22"/>
              </w:rPr>
              <w:t>**As per the procurer’s specifications (potentially defined in TS3 if that is </w:t>
            </w:r>
            <w:r>
              <w:rPr>
                <w:i/>
                <w:sz w:val="22"/>
              </w:rPr>
              <w:t>included in the ITT).</w:t>
            </w:r>
          </w:p>
          <w:p>
            <w:pPr>
              <w:pStyle w:val="TableParagraph"/>
              <w:spacing w:before="30"/>
              <w:ind w:left="107" w:right="91"/>
              <w:jc w:val="both"/>
              <w:rPr>
                <w:i/>
                <w:sz w:val="22"/>
              </w:rPr>
            </w:pPr>
            <w:r>
              <w:rPr>
                <w:i/>
                <w:sz w:val="22"/>
              </w:rPr>
              <w:t>***The G-index can be quickly and easily calculated using the same </w:t>
            </w:r>
            <w:r>
              <w:rPr>
                <w:i/>
                <w:sz w:val="22"/>
              </w:rPr>
              <w:t>photometric data used to calculate the CCT via an excel spreadsheet available at this website:</w:t>
            </w:r>
          </w:p>
          <w:p>
            <w:pPr>
              <w:pStyle w:val="TableParagraph"/>
              <w:spacing w:before="40"/>
              <w:ind w:left="107"/>
              <w:jc w:val="both"/>
              <w:rPr>
                <w:i/>
                <w:sz w:val="22"/>
              </w:rPr>
            </w:pPr>
            <w:hyperlink r:id="rId8">
              <w:r>
                <w:rPr>
                  <w:i/>
                  <w:color w:val="0000FF"/>
                  <w:sz w:val="22"/>
                  <w:u w:val="single" w:color="0000FF"/>
                </w:rPr>
                <w:t>http://www.juntadeandalucia.es/medioambiente/cieloandaluzindiceg</w:t>
              </w:r>
            </w:hyperlink>
          </w:p>
        </w:tc>
      </w:tr>
    </w:tbl>
    <w:p>
      <w:pPr>
        <w:spacing w:after="0"/>
        <w:jc w:val="both"/>
        <w:rPr>
          <w:sz w:val="22"/>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3"/>
        </w:numPr>
        <w:tabs>
          <w:tab w:pos="984" w:val="left" w:leader="none"/>
          <w:tab w:pos="985" w:val="left" w:leader="none"/>
        </w:tabs>
        <w:spacing w:line="240" w:lineRule="auto" w:before="246" w:after="0"/>
        <w:ind w:left="984" w:right="575" w:hanging="852"/>
        <w:jc w:val="left"/>
        <w:rPr>
          <w:b/>
          <w:sz w:val="28"/>
        </w:rPr>
      </w:pPr>
      <w:r>
        <w:rPr>
          <w:b/>
          <w:sz w:val="28"/>
        </w:rPr>
        <w:t>Good quality and durable lighting equipment: technical specifications (TS), award criteria (AC) and associated contract performance clauses</w:t>
      </w:r>
      <w:r>
        <w:rPr>
          <w:b/>
          <w:spacing w:val="-4"/>
          <w:sz w:val="28"/>
        </w:rPr>
        <w:t> </w:t>
      </w:r>
      <w:r>
        <w:rPr>
          <w:b/>
          <w:sz w:val="28"/>
        </w:rPr>
        <w:t>(CPC)</w:t>
      </w:r>
    </w:p>
    <w:p>
      <w:pPr>
        <w:pStyle w:val="BodyText"/>
        <w:rPr>
          <w:b/>
          <w:sz w:val="20"/>
        </w:rPr>
      </w:pPr>
    </w:p>
    <w:p>
      <w:pPr>
        <w:pStyle w:val="BodyText"/>
        <w:spacing w:before="6"/>
        <w:rPr>
          <w:b/>
          <w:sz w:val="10"/>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95" w:hRule="atLeast"/>
        </w:trPr>
        <w:tc>
          <w:tcPr>
            <w:tcW w:w="14506" w:type="dxa"/>
            <w:shd w:val="clear" w:color="auto" w:fill="92D050"/>
          </w:tcPr>
          <w:p>
            <w:pPr>
              <w:pStyle w:val="TableParagraph"/>
              <w:spacing w:before="56"/>
              <w:ind w:left="5054" w:right="5037"/>
              <w:jc w:val="center"/>
              <w:rPr>
                <w:b/>
                <w:sz w:val="24"/>
              </w:rPr>
            </w:pPr>
            <w:r>
              <w:rPr>
                <w:b/>
                <w:sz w:val="24"/>
              </w:rPr>
              <w:t>SUBJECT MATTER</w:t>
            </w:r>
          </w:p>
        </w:tc>
      </w:tr>
      <w:tr>
        <w:trPr>
          <w:trHeight w:val="830" w:hRule="atLeast"/>
        </w:trPr>
        <w:tc>
          <w:tcPr>
            <w:tcW w:w="14506" w:type="dxa"/>
          </w:tcPr>
          <w:p>
            <w:pPr>
              <w:pStyle w:val="TableParagraph"/>
              <w:spacing w:line="268" w:lineRule="exact"/>
              <w:rPr>
                <w:sz w:val="24"/>
              </w:rPr>
            </w:pPr>
            <w:r>
              <w:rPr>
                <w:sz w:val="24"/>
              </w:rPr>
              <w:t>The criteria in section 3.5 relate specifically to the purchase of good quality and durable road lighting equipment for: new lighting installations; the</w:t>
            </w:r>
          </w:p>
          <w:p>
            <w:pPr>
              <w:pStyle w:val="TableParagraph"/>
              <w:spacing w:line="270" w:lineRule="atLeast"/>
              <w:ind w:right="83"/>
              <w:rPr>
                <w:sz w:val="24"/>
              </w:rPr>
            </w:pPr>
            <w:r>
              <w:rPr>
                <w:sz w:val="24"/>
              </w:rPr>
              <w:t>refurbishment of existing lighting installations; the retrofitting of new luminaires to existing installations; or the retrofitting of new light sources or controls to existing luminaires.</w:t>
            </w:r>
          </w:p>
        </w:tc>
      </w:tr>
    </w:tbl>
    <w:p>
      <w:pPr>
        <w:pStyle w:val="BodyText"/>
        <w:rPr>
          <w:b/>
          <w:sz w:val="20"/>
        </w:rPr>
      </w:pPr>
    </w:p>
    <w:p>
      <w:pPr>
        <w:pStyle w:val="BodyText"/>
        <w:spacing w:before="3"/>
        <w:rPr>
          <w:b/>
          <w:sz w:val="10"/>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9"/>
        <w:gridCol w:w="7166"/>
      </w:tblGrid>
      <w:tr>
        <w:trPr>
          <w:trHeight w:val="397" w:hRule="atLeast"/>
        </w:trPr>
        <w:tc>
          <w:tcPr>
            <w:tcW w:w="7339" w:type="dxa"/>
            <w:shd w:val="clear" w:color="auto" w:fill="FFC000"/>
          </w:tcPr>
          <w:p>
            <w:pPr>
              <w:pStyle w:val="TableParagraph"/>
              <w:spacing w:before="59"/>
              <w:ind w:left="2989" w:right="2974"/>
              <w:jc w:val="center"/>
              <w:rPr>
                <w:b/>
                <w:sz w:val="24"/>
              </w:rPr>
            </w:pPr>
            <w:r>
              <w:rPr>
                <w:b/>
                <w:sz w:val="24"/>
              </w:rPr>
              <w:t>Core criteria</w:t>
            </w:r>
          </w:p>
        </w:tc>
        <w:tc>
          <w:tcPr>
            <w:tcW w:w="7166" w:type="dxa"/>
            <w:shd w:val="clear" w:color="auto" w:fill="FFC000"/>
          </w:tcPr>
          <w:p>
            <w:pPr>
              <w:pStyle w:val="TableParagraph"/>
              <w:spacing w:before="59"/>
              <w:ind w:left="2376"/>
              <w:rPr>
                <w:b/>
                <w:sz w:val="24"/>
              </w:rPr>
            </w:pPr>
            <w:r>
              <w:rPr>
                <w:b/>
                <w:sz w:val="24"/>
              </w:rPr>
              <w:t>Comprehensive criteria</w:t>
            </w:r>
          </w:p>
        </w:tc>
      </w:tr>
      <w:tr>
        <w:trPr>
          <w:trHeight w:val="395" w:hRule="atLeast"/>
        </w:trPr>
        <w:tc>
          <w:tcPr>
            <w:tcW w:w="14505" w:type="dxa"/>
            <w:gridSpan w:val="2"/>
            <w:shd w:val="clear" w:color="auto" w:fill="92D050"/>
          </w:tcPr>
          <w:p>
            <w:pPr>
              <w:pStyle w:val="TableParagraph"/>
              <w:spacing w:before="56"/>
              <w:ind w:left="5260" w:right="5249"/>
              <w:jc w:val="center"/>
              <w:rPr>
                <w:b/>
                <w:sz w:val="24"/>
              </w:rPr>
            </w:pPr>
            <w:r>
              <w:rPr>
                <w:b/>
                <w:sz w:val="24"/>
              </w:rPr>
              <w:t>TECHNICAL SPECIFICATIONS</w:t>
            </w:r>
          </w:p>
        </w:tc>
      </w:tr>
      <w:tr>
        <w:trPr>
          <w:trHeight w:val="4192" w:hRule="atLeast"/>
        </w:trPr>
        <w:tc>
          <w:tcPr>
            <w:tcW w:w="14505" w:type="dxa"/>
            <w:gridSpan w:val="2"/>
          </w:tcPr>
          <w:p>
            <w:pPr>
              <w:pStyle w:val="TableParagraph"/>
              <w:spacing w:before="37"/>
              <w:rPr>
                <w:b/>
                <w:sz w:val="24"/>
              </w:rPr>
            </w:pPr>
            <w:r>
              <w:rPr>
                <w:b/>
                <w:sz w:val="24"/>
              </w:rPr>
              <w:t>TS10. Provision of instructions</w:t>
            </w:r>
          </w:p>
          <w:p>
            <w:pPr>
              <w:pStyle w:val="TableParagraph"/>
              <w:spacing w:before="38"/>
              <w:rPr>
                <w:b/>
                <w:i/>
                <w:sz w:val="24"/>
              </w:rPr>
            </w:pPr>
            <w:r>
              <w:rPr>
                <w:b/>
                <w:i/>
                <w:sz w:val="24"/>
              </w:rPr>
              <w:t>(Applicable when the equipment and/or controls in the particular lighting installation requested in the ITT are different from the normal </w:t>
            </w:r>
            <w:r>
              <w:rPr>
                <w:b/>
                <w:i/>
                <w:sz w:val="24"/>
              </w:rPr>
              <w:t>equipment installed elsewhere on the wider lighting network operated by the procurer.)</w:t>
            </w:r>
          </w:p>
          <w:p>
            <w:pPr>
              <w:pStyle w:val="TableParagraph"/>
              <w:spacing w:before="37"/>
              <w:rPr>
                <w:i/>
                <w:sz w:val="24"/>
              </w:rPr>
            </w:pPr>
            <w:r>
              <w:rPr>
                <w:i/>
                <w:sz w:val="24"/>
              </w:rPr>
              <w:t>(Same for core and comprehensive criteria.)</w:t>
            </w:r>
          </w:p>
          <w:p>
            <w:pPr>
              <w:pStyle w:val="TableParagraph"/>
              <w:spacing w:before="11"/>
              <w:ind w:left="0"/>
              <w:rPr>
                <w:b/>
                <w:sz w:val="37"/>
              </w:rPr>
            </w:pPr>
          </w:p>
          <w:p>
            <w:pPr>
              <w:pStyle w:val="TableParagraph"/>
              <w:rPr>
                <w:sz w:val="24"/>
              </w:rPr>
            </w:pPr>
            <w:r>
              <w:rPr>
                <w:sz w:val="24"/>
              </w:rPr>
              <w:t>The tenderer shall provide the following information with the installation of new or renovated lighting systems:</w:t>
            </w:r>
          </w:p>
          <w:p>
            <w:pPr>
              <w:pStyle w:val="TableParagraph"/>
              <w:numPr>
                <w:ilvl w:val="0"/>
                <w:numId w:val="31"/>
              </w:numPr>
              <w:tabs>
                <w:tab w:pos="831" w:val="left" w:leader="none"/>
              </w:tabs>
              <w:spacing w:line="240" w:lineRule="auto" w:before="55" w:after="0"/>
              <w:ind w:left="830" w:right="0" w:hanging="360"/>
              <w:jc w:val="left"/>
              <w:rPr>
                <w:sz w:val="24"/>
              </w:rPr>
            </w:pPr>
            <w:r>
              <w:rPr>
                <w:sz w:val="24"/>
              </w:rPr>
              <w:t>disassembly instructions for</w:t>
            </w:r>
            <w:r>
              <w:rPr>
                <w:spacing w:val="-4"/>
                <w:sz w:val="24"/>
              </w:rPr>
              <w:t> </w:t>
            </w:r>
            <w:r>
              <w:rPr>
                <w:sz w:val="24"/>
              </w:rPr>
              <w:t>luminaires;</w:t>
            </w:r>
          </w:p>
          <w:p>
            <w:pPr>
              <w:pStyle w:val="TableParagraph"/>
              <w:numPr>
                <w:ilvl w:val="0"/>
                <w:numId w:val="31"/>
              </w:numPr>
              <w:tabs>
                <w:tab w:pos="831" w:val="left" w:leader="none"/>
              </w:tabs>
              <w:spacing w:line="220" w:lineRule="auto" w:before="56" w:after="0"/>
              <w:ind w:left="830" w:right="94" w:hanging="360"/>
              <w:jc w:val="left"/>
              <w:rPr>
                <w:sz w:val="24"/>
              </w:rPr>
            </w:pPr>
            <w:r>
              <w:rPr>
                <w:sz w:val="24"/>
              </w:rPr>
              <w:t>instructions on how to replace light sources (where applicable), and which lamps can be used in the luminaires without decreasing the  energy</w:t>
            </w:r>
            <w:r>
              <w:rPr>
                <w:spacing w:val="-6"/>
                <w:sz w:val="24"/>
              </w:rPr>
              <w:t> </w:t>
            </w:r>
            <w:r>
              <w:rPr>
                <w:sz w:val="24"/>
              </w:rPr>
              <w:t>efficiency;</w:t>
            </w:r>
          </w:p>
          <w:p>
            <w:pPr>
              <w:pStyle w:val="TableParagraph"/>
              <w:numPr>
                <w:ilvl w:val="0"/>
                <w:numId w:val="31"/>
              </w:numPr>
              <w:tabs>
                <w:tab w:pos="831" w:val="left" w:leader="none"/>
              </w:tabs>
              <w:spacing w:line="240" w:lineRule="auto" w:before="63" w:after="0"/>
              <w:ind w:left="830" w:right="0" w:hanging="360"/>
              <w:jc w:val="left"/>
              <w:rPr>
                <w:sz w:val="24"/>
              </w:rPr>
            </w:pPr>
            <w:r>
              <w:rPr>
                <w:sz w:val="24"/>
              </w:rPr>
              <w:t>instructions on how to operate and maintain lighting</w:t>
            </w:r>
            <w:r>
              <w:rPr>
                <w:spacing w:val="-6"/>
                <w:sz w:val="24"/>
              </w:rPr>
              <w:t> </w:t>
            </w:r>
            <w:r>
              <w:rPr>
                <w:sz w:val="24"/>
              </w:rPr>
              <w:t>controls;</w:t>
            </w:r>
          </w:p>
          <w:p>
            <w:pPr>
              <w:pStyle w:val="TableParagraph"/>
              <w:numPr>
                <w:ilvl w:val="0"/>
                <w:numId w:val="31"/>
              </w:numPr>
              <w:tabs>
                <w:tab w:pos="831" w:val="left" w:leader="none"/>
              </w:tabs>
              <w:spacing w:line="240" w:lineRule="auto" w:before="38" w:after="0"/>
              <w:ind w:left="830" w:right="0" w:hanging="360"/>
              <w:jc w:val="left"/>
              <w:rPr>
                <w:sz w:val="24"/>
              </w:rPr>
            </w:pPr>
            <w:r>
              <w:rPr>
                <w:sz w:val="24"/>
              </w:rPr>
              <w:t>for daylight linked controls, instructions on how to recalibrate and adjust them;</w:t>
            </w:r>
            <w:r>
              <w:rPr>
                <w:spacing w:val="-7"/>
                <w:sz w:val="24"/>
              </w:rPr>
              <w:t> </w:t>
            </w:r>
            <w:r>
              <w:rPr>
                <w:sz w:val="24"/>
              </w:rPr>
              <w:t>and</w:t>
            </w:r>
          </w:p>
          <w:p>
            <w:pPr>
              <w:pStyle w:val="TableParagraph"/>
              <w:numPr>
                <w:ilvl w:val="0"/>
                <w:numId w:val="31"/>
              </w:numPr>
              <w:tabs>
                <w:tab w:pos="831" w:val="left" w:leader="none"/>
              </w:tabs>
              <w:spacing w:line="220" w:lineRule="auto" w:before="56" w:after="0"/>
              <w:ind w:left="830" w:right="91" w:hanging="360"/>
              <w:jc w:val="left"/>
              <w:rPr>
                <w:sz w:val="24"/>
              </w:rPr>
            </w:pPr>
            <w:r>
              <w:rPr>
                <w:sz w:val="24"/>
              </w:rPr>
              <w:t>for time switches, instructions on how to adjust the switch-off times, and advice on how best to do this to meet visual needs without excessive increase in energy</w:t>
            </w:r>
            <w:r>
              <w:rPr>
                <w:spacing w:val="-7"/>
                <w:sz w:val="24"/>
              </w:rPr>
              <w:t> </w:t>
            </w:r>
            <w:r>
              <w:rPr>
                <w:sz w:val="24"/>
              </w:rPr>
              <w:t>consumption.</w:t>
            </w:r>
          </w:p>
        </w:tc>
      </w:tr>
    </w:tbl>
    <w:p>
      <w:pPr>
        <w:spacing w:after="0" w:line="220" w:lineRule="auto"/>
        <w:jc w:val="left"/>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1223" w:hRule="atLeast"/>
        </w:trPr>
        <w:tc>
          <w:tcPr>
            <w:tcW w:w="14506" w:type="dxa"/>
          </w:tcPr>
          <w:p>
            <w:pPr>
              <w:pStyle w:val="TableParagraph"/>
              <w:spacing w:before="2"/>
              <w:ind w:left="0"/>
              <w:rPr>
                <w:sz w:val="27"/>
              </w:rPr>
            </w:pPr>
          </w:p>
          <w:p>
            <w:pPr>
              <w:pStyle w:val="TableParagraph"/>
              <w:spacing w:before="1"/>
              <w:rPr>
                <w:b/>
                <w:sz w:val="24"/>
              </w:rPr>
            </w:pPr>
            <w:r>
              <w:rPr>
                <w:b/>
                <w:sz w:val="24"/>
              </w:rPr>
              <w:t>Verification:</w:t>
            </w:r>
          </w:p>
          <w:p>
            <w:pPr>
              <w:pStyle w:val="TableParagraph"/>
              <w:spacing w:before="33"/>
              <w:ind w:right="83"/>
              <w:rPr>
                <w:sz w:val="24"/>
              </w:rPr>
            </w:pPr>
            <w:r>
              <w:rPr>
                <w:sz w:val="24"/>
              </w:rPr>
              <w:t>The tenderer shall provide a declaration of compliance with this criterion, supported by examples of written instructions that will be provided to the contracting authority should the tender be successful.</w:t>
            </w:r>
          </w:p>
        </w:tc>
      </w:tr>
    </w:tbl>
    <w:p>
      <w:pPr>
        <w:spacing w:after="0"/>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9"/>
        <w:gridCol w:w="7166"/>
      </w:tblGrid>
      <w:tr>
        <w:trPr>
          <w:trHeight w:val="3474" w:hRule="atLeast"/>
        </w:trPr>
        <w:tc>
          <w:tcPr>
            <w:tcW w:w="14505" w:type="dxa"/>
            <w:gridSpan w:val="2"/>
          </w:tcPr>
          <w:p>
            <w:pPr>
              <w:pStyle w:val="TableParagraph"/>
              <w:spacing w:before="37"/>
              <w:rPr>
                <w:b/>
                <w:sz w:val="24"/>
              </w:rPr>
            </w:pPr>
            <w:r>
              <w:rPr>
                <w:b/>
                <w:sz w:val="24"/>
              </w:rPr>
              <w:t>TS11. Waste recovery</w:t>
            </w:r>
          </w:p>
          <w:p>
            <w:pPr>
              <w:pStyle w:val="TableParagraph"/>
              <w:spacing w:before="34"/>
              <w:rPr>
                <w:i/>
                <w:sz w:val="24"/>
              </w:rPr>
            </w:pPr>
            <w:r>
              <w:rPr>
                <w:i/>
                <w:sz w:val="24"/>
              </w:rPr>
              <w:t>(Same for core and comprehensive criteria.)</w:t>
            </w:r>
          </w:p>
          <w:p>
            <w:pPr>
              <w:pStyle w:val="TableParagraph"/>
              <w:spacing w:before="11"/>
              <w:ind w:left="0"/>
              <w:rPr>
                <w:sz w:val="37"/>
              </w:rPr>
            </w:pPr>
          </w:p>
          <w:p>
            <w:pPr>
              <w:pStyle w:val="TableParagraph"/>
              <w:rPr>
                <w:sz w:val="24"/>
              </w:rPr>
            </w:pPr>
            <w:r>
              <w:rPr>
                <w:sz w:val="24"/>
              </w:rPr>
              <w:t>The tenderer shall implement appropriate environmental measures to reduce and recover the waste produced during the installation of a new or renovated lighting system.</w:t>
            </w:r>
          </w:p>
          <w:p>
            <w:pPr>
              <w:pStyle w:val="TableParagraph"/>
              <w:spacing w:before="41"/>
              <w:rPr>
                <w:sz w:val="24"/>
              </w:rPr>
            </w:pPr>
            <w:r>
              <w:rPr>
                <w:sz w:val="24"/>
              </w:rPr>
              <w:t>All waste lamps and luminaires and lighting controls shall be separated and sent for recovery in accordance with the WEEE directive</w:t>
            </w:r>
            <w:r>
              <w:rPr>
                <w:sz w:val="24"/>
                <w:vertAlign w:val="superscript"/>
              </w:rPr>
              <w:t>6</w:t>
            </w:r>
            <w:r>
              <w:rPr>
                <w:sz w:val="24"/>
                <w:vertAlign w:val="baseline"/>
              </w:rPr>
              <w:t>. Any other waste materials that are expected to be generated and that can be recycled shall be collected and delivered to appropriate facilities.</w:t>
            </w:r>
          </w:p>
          <w:p>
            <w:pPr>
              <w:pStyle w:val="TableParagraph"/>
              <w:spacing w:before="3"/>
              <w:ind w:left="0"/>
              <w:rPr>
                <w:sz w:val="31"/>
              </w:rPr>
            </w:pPr>
          </w:p>
          <w:p>
            <w:pPr>
              <w:pStyle w:val="TableParagraph"/>
              <w:rPr>
                <w:b/>
                <w:sz w:val="24"/>
              </w:rPr>
            </w:pPr>
            <w:r>
              <w:rPr>
                <w:b/>
                <w:sz w:val="24"/>
              </w:rPr>
              <w:t>Verification:</w:t>
            </w:r>
          </w:p>
          <w:p>
            <w:pPr>
              <w:pStyle w:val="TableParagraph"/>
              <w:spacing w:before="36"/>
              <w:ind w:right="416"/>
              <w:rPr>
                <w:sz w:val="24"/>
              </w:rPr>
            </w:pPr>
            <w:r>
              <w:rPr>
                <w:sz w:val="24"/>
              </w:rPr>
              <w:t>The tenderer shall provide details of the waste handling procedures in place and identify suitable sites to which WEEE and other recyclable materials can be taken to for separation, recycling and heat recovery, as</w:t>
            </w:r>
            <w:r>
              <w:rPr>
                <w:spacing w:val="-13"/>
                <w:sz w:val="24"/>
              </w:rPr>
              <w:t> </w:t>
            </w:r>
            <w:r>
              <w:rPr>
                <w:sz w:val="24"/>
              </w:rPr>
              <w:t>appropriate.</w:t>
            </w:r>
          </w:p>
        </w:tc>
      </w:tr>
      <w:tr>
        <w:trPr>
          <w:trHeight w:val="3417" w:hRule="atLeast"/>
        </w:trPr>
        <w:tc>
          <w:tcPr>
            <w:tcW w:w="7339" w:type="dxa"/>
          </w:tcPr>
          <w:p>
            <w:pPr>
              <w:pStyle w:val="TableParagraph"/>
              <w:spacing w:before="95"/>
              <w:rPr>
                <w:b/>
                <w:sz w:val="24"/>
              </w:rPr>
            </w:pPr>
            <w:r>
              <w:rPr>
                <w:b/>
                <w:sz w:val="24"/>
              </w:rPr>
              <w:t>TS12. Product lifetime, spare parts and warranty</w:t>
            </w:r>
          </w:p>
          <w:p>
            <w:pPr>
              <w:pStyle w:val="TableParagraph"/>
              <w:spacing w:before="96"/>
              <w:ind w:right="92"/>
              <w:rPr>
                <w:b/>
                <w:i/>
                <w:sz w:val="24"/>
              </w:rPr>
            </w:pPr>
            <w:r>
              <w:rPr>
                <w:b/>
                <w:i/>
                <w:sz w:val="24"/>
              </w:rPr>
              <w:t>(The thresholds defined here are applicable to LED-based light sources, </w:t>
            </w:r>
            <w:r>
              <w:rPr>
                <w:b/>
                <w:i/>
                <w:sz w:val="24"/>
              </w:rPr>
              <w:t>lamps and luminaires.)</w:t>
            </w:r>
          </w:p>
          <w:p>
            <w:pPr>
              <w:pStyle w:val="TableParagraph"/>
              <w:ind w:left="0"/>
              <w:rPr>
                <w:sz w:val="26"/>
              </w:rPr>
            </w:pPr>
          </w:p>
          <w:p>
            <w:pPr>
              <w:pStyle w:val="TableParagraph"/>
              <w:spacing w:before="164"/>
              <w:rPr>
                <w:sz w:val="24"/>
              </w:rPr>
            </w:pPr>
            <w:r>
              <w:rPr>
                <w:sz w:val="24"/>
              </w:rPr>
              <w:t>Any LED-based light sources shall have a rated life at 25°C of:</w:t>
            </w:r>
          </w:p>
          <w:p>
            <w:pPr>
              <w:pStyle w:val="TableParagraph"/>
              <w:numPr>
                <w:ilvl w:val="0"/>
                <w:numId w:val="32"/>
              </w:numPr>
              <w:tabs>
                <w:tab w:pos="831" w:val="left" w:leader="none"/>
              </w:tabs>
              <w:spacing w:line="240" w:lineRule="auto" w:before="115" w:after="0"/>
              <w:ind w:left="830" w:right="0" w:hanging="360"/>
              <w:jc w:val="left"/>
              <w:rPr>
                <w:sz w:val="24"/>
              </w:rPr>
            </w:pPr>
            <w:r>
              <w:rPr>
                <w:sz w:val="24"/>
              </w:rPr>
              <w:t>L96 at 6 000</w:t>
            </w:r>
            <w:r>
              <w:rPr>
                <w:spacing w:val="-4"/>
                <w:sz w:val="24"/>
              </w:rPr>
              <w:t> </w:t>
            </w:r>
            <w:r>
              <w:rPr>
                <w:sz w:val="24"/>
              </w:rPr>
              <w:t>hours,</w:t>
            </w:r>
          </w:p>
          <w:p>
            <w:pPr>
              <w:pStyle w:val="TableParagraph"/>
              <w:numPr>
                <w:ilvl w:val="0"/>
                <w:numId w:val="32"/>
              </w:numPr>
              <w:tabs>
                <w:tab w:pos="831" w:val="left" w:leader="none"/>
              </w:tabs>
              <w:spacing w:line="240" w:lineRule="auto" w:before="93" w:after="0"/>
              <w:ind w:left="830" w:right="0" w:hanging="360"/>
              <w:jc w:val="left"/>
              <w:rPr>
                <w:sz w:val="24"/>
              </w:rPr>
            </w:pPr>
            <w:r>
              <w:rPr>
                <w:sz w:val="24"/>
              </w:rPr>
              <w:t>L70 at 50 000 hours</w:t>
            </w:r>
            <w:r>
              <w:rPr>
                <w:spacing w:val="-7"/>
                <w:sz w:val="24"/>
              </w:rPr>
              <w:t> </w:t>
            </w:r>
            <w:r>
              <w:rPr>
                <w:sz w:val="24"/>
              </w:rPr>
              <w:t>(projected),</w:t>
            </w:r>
          </w:p>
          <w:p>
            <w:pPr>
              <w:pStyle w:val="TableParagraph"/>
              <w:numPr>
                <w:ilvl w:val="0"/>
                <w:numId w:val="32"/>
              </w:numPr>
              <w:tabs>
                <w:tab w:pos="831" w:val="left" w:leader="none"/>
              </w:tabs>
              <w:spacing w:line="240" w:lineRule="auto" w:before="92" w:after="0"/>
              <w:ind w:left="830" w:right="0" w:hanging="360"/>
              <w:jc w:val="left"/>
              <w:rPr>
                <w:sz w:val="24"/>
              </w:rPr>
            </w:pPr>
            <w:r>
              <w:rPr>
                <w:sz w:val="24"/>
              </w:rPr>
              <w:t>C0 at 3 000 hours or C10 at 6 000</w:t>
            </w:r>
            <w:r>
              <w:rPr>
                <w:spacing w:val="-12"/>
                <w:sz w:val="24"/>
              </w:rPr>
              <w:t> </w:t>
            </w:r>
            <w:r>
              <w:rPr>
                <w:sz w:val="24"/>
              </w:rPr>
              <w:t>hours,</w:t>
            </w:r>
          </w:p>
          <w:p>
            <w:pPr>
              <w:pStyle w:val="TableParagraph"/>
              <w:numPr>
                <w:ilvl w:val="0"/>
                <w:numId w:val="32"/>
              </w:numPr>
              <w:tabs>
                <w:tab w:pos="831" w:val="left" w:leader="none"/>
              </w:tabs>
              <w:spacing w:line="240" w:lineRule="auto" w:before="93" w:after="0"/>
              <w:ind w:left="830" w:right="0" w:hanging="360"/>
              <w:jc w:val="left"/>
              <w:rPr>
                <w:sz w:val="24"/>
              </w:rPr>
            </w:pPr>
            <w:r>
              <w:rPr>
                <w:sz w:val="24"/>
              </w:rPr>
              <w:t>C50 at 50 000 hours</w:t>
            </w:r>
            <w:r>
              <w:rPr>
                <w:spacing w:val="-7"/>
                <w:sz w:val="24"/>
              </w:rPr>
              <w:t> </w:t>
            </w:r>
            <w:r>
              <w:rPr>
                <w:sz w:val="24"/>
              </w:rPr>
              <w:t>(projected).</w:t>
            </w:r>
          </w:p>
        </w:tc>
        <w:tc>
          <w:tcPr>
            <w:tcW w:w="7166" w:type="dxa"/>
          </w:tcPr>
          <w:p>
            <w:pPr>
              <w:pStyle w:val="TableParagraph"/>
              <w:spacing w:before="95"/>
              <w:rPr>
                <w:b/>
                <w:sz w:val="24"/>
              </w:rPr>
            </w:pPr>
            <w:r>
              <w:rPr>
                <w:b/>
                <w:sz w:val="24"/>
              </w:rPr>
              <w:t>TS12. Product lifetime, spare parts and warranty</w:t>
            </w:r>
          </w:p>
          <w:p>
            <w:pPr>
              <w:pStyle w:val="TableParagraph"/>
              <w:spacing w:before="96"/>
              <w:ind w:right="202"/>
              <w:rPr>
                <w:b/>
                <w:i/>
                <w:sz w:val="24"/>
              </w:rPr>
            </w:pPr>
            <w:r>
              <w:rPr>
                <w:b/>
                <w:i/>
                <w:sz w:val="24"/>
              </w:rPr>
              <w:t>(The thresholds defined here are applicable to LED-based light </w:t>
            </w:r>
            <w:r>
              <w:rPr>
                <w:b/>
                <w:i/>
                <w:sz w:val="24"/>
              </w:rPr>
              <w:t>sources, lamps and luminaires.)</w:t>
            </w:r>
          </w:p>
          <w:p>
            <w:pPr>
              <w:pStyle w:val="TableParagraph"/>
              <w:ind w:left="0"/>
              <w:rPr>
                <w:sz w:val="26"/>
              </w:rPr>
            </w:pPr>
          </w:p>
          <w:p>
            <w:pPr>
              <w:pStyle w:val="TableParagraph"/>
              <w:spacing w:before="164"/>
              <w:rPr>
                <w:sz w:val="24"/>
              </w:rPr>
            </w:pPr>
            <w:r>
              <w:rPr>
                <w:sz w:val="24"/>
              </w:rPr>
              <w:t>Any LED-based light sources shall have a rated life at 25°C of:</w:t>
            </w:r>
          </w:p>
          <w:p>
            <w:pPr>
              <w:pStyle w:val="TableParagraph"/>
              <w:numPr>
                <w:ilvl w:val="0"/>
                <w:numId w:val="33"/>
              </w:numPr>
              <w:tabs>
                <w:tab w:pos="831" w:val="left" w:leader="none"/>
              </w:tabs>
              <w:spacing w:line="240" w:lineRule="auto" w:before="115" w:after="0"/>
              <w:ind w:left="830" w:right="0" w:hanging="360"/>
              <w:jc w:val="left"/>
              <w:rPr>
                <w:sz w:val="24"/>
              </w:rPr>
            </w:pPr>
            <w:r>
              <w:rPr>
                <w:sz w:val="24"/>
              </w:rPr>
              <w:t>L96 at 6 000</w:t>
            </w:r>
            <w:r>
              <w:rPr>
                <w:spacing w:val="-4"/>
                <w:sz w:val="24"/>
              </w:rPr>
              <w:t> </w:t>
            </w:r>
            <w:r>
              <w:rPr>
                <w:sz w:val="24"/>
              </w:rPr>
              <w:t>hours,</w:t>
            </w:r>
          </w:p>
          <w:p>
            <w:pPr>
              <w:pStyle w:val="TableParagraph"/>
              <w:numPr>
                <w:ilvl w:val="0"/>
                <w:numId w:val="33"/>
              </w:numPr>
              <w:tabs>
                <w:tab w:pos="831" w:val="left" w:leader="none"/>
              </w:tabs>
              <w:spacing w:line="240" w:lineRule="auto" w:before="93" w:after="0"/>
              <w:ind w:left="830" w:right="0" w:hanging="360"/>
              <w:jc w:val="left"/>
              <w:rPr>
                <w:sz w:val="24"/>
              </w:rPr>
            </w:pPr>
            <w:r>
              <w:rPr>
                <w:sz w:val="24"/>
              </w:rPr>
              <w:t>L70 at 100 000 hours</w:t>
            </w:r>
            <w:r>
              <w:rPr>
                <w:spacing w:val="-7"/>
                <w:sz w:val="24"/>
              </w:rPr>
              <w:t> </w:t>
            </w:r>
            <w:r>
              <w:rPr>
                <w:sz w:val="24"/>
              </w:rPr>
              <w:t>(projected),</w:t>
            </w:r>
          </w:p>
          <w:p>
            <w:pPr>
              <w:pStyle w:val="TableParagraph"/>
              <w:numPr>
                <w:ilvl w:val="0"/>
                <w:numId w:val="33"/>
              </w:numPr>
              <w:tabs>
                <w:tab w:pos="831" w:val="left" w:leader="none"/>
              </w:tabs>
              <w:spacing w:line="240" w:lineRule="auto" w:before="92" w:after="0"/>
              <w:ind w:left="830" w:right="0" w:hanging="360"/>
              <w:jc w:val="left"/>
              <w:rPr>
                <w:sz w:val="24"/>
              </w:rPr>
            </w:pPr>
            <w:r>
              <w:rPr>
                <w:sz w:val="24"/>
              </w:rPr>
              <w:t>C0 at 3 000 hours or C10 at 6 000</w:t>
            </w:r>
            <w:r>
              <w:rPr>
                <w:spacing w:val="-12"/>
                <w:sz w:val="24"/>
              </w:rPr>
              <w:t> </w:t>
            </w:r>
            <w:r>
              <w:rPr>
                <w:sz w:val="24"/>
              </w:rPr>
              <w:t>hours,</w:t>
            </w:r>
          </w:p>
          <w:p>
            <w:pPr>
              <w:pStyle w:val="TableParagraph"/>
              <w:numPr>
                <w:ilvl w:val="0"/>
                <w:numId w:val="33"/>
              </w:numPr>
              <w:tabs>
                <w:tab w:pos="831" w:val="left" w:leader="none"/>
              </w:tabs>
              <w:spacing w:line="240" w:lineRule="auto" w:before="93" w:after="0"/>
              <w:ind w:left="830" w:right="0" w:hanging="360"/>
              <w:jc w:val="left"/>
              <w:rPr>
                <w:sz w:val="24"/>
              </w:rPr>
            </w:pPr>
            <w:r>
              <w:rPr>
                <w:sz w:val="24"/>
              </w:rPr>
              <w:t>C50 at 100 000 hours</w:t>
            </w:r>
            <w:r>
              <w:rPr>
                <w:spacing w:val="-7"/>
                <w:sz w:val="24"/>
              </w:rPr>
              <w:t> </w:t>
            </w:r>
            <w:r>
              <w:rPr>
                <w:sz w:val="24"/>
              </w:rPr>
              <w:t>(projected).</w:t>
            </w:r>
          </w:p>
        </w:tc>
      </w:tr>
    </w:tbl>
    <w:p>
      <w:pPr>
        <w:pStyle w:val="BodyText"/>
        <w:rPr>
          <w:sz w:val="20"/>
        </w:rPr>
      </w:pPr>
    </w:p>
    <w:p>
      <w:pPr>
        <w:pStyle w:val="BodyText"/>
        <w:spacing w:before="9"/>
        <w:rPr>
          <w:sz w:val="11"/>
        </w:rPr>
      </w:pPr>
      <w:r>
        <w:rPr/>
        <w:pict>
          <v:line style="position:absolute;mso-position-horizontal-relative:page;mso-position-vertical-relative:paragraph;z-index:-904;mso-wrap-distance-left:0;mso-wrap-distance-right:0" from="56.640999pt,9.020957pt" to="200.640999pt,9.020957pt" stroked="true" strokeweight=".47998pt" strokecolor="#000000">
            <v:stroke dashstyle="solid"/>
            <w10:wrap type="topAndBottom"/>
          </v:line>
        </w:pict>
      </w:r>
    </w:p>
    <w:p>
      <w:pPr>
        <w:spacing w:before="30"/>
        <w:ind w:left="132" w:right="0" w:firstLine="0"/>
        <w:jc w:val="left"/>
        <w:rPr>
          <w:sz w:val="20"/>
        </w:rPr>
      </w:pPr>
      <w:r>
        <w:rPr>
          <w:position w:val="9"/>
          <w:sz w:val="13"/>
        </w:rPr>
        <w:t>6 </w:t>
      </w:r>
      <w:r>
        <w:rPr>
          <w:sz w:val="20"/>
        </w:rPr>
        <w:t>Directive 2012/19/EU of the European Parliament and of the Council of 4 July 2012 on waste electrical and electronic equipment (WEEE) recast (OJ L 197, 24.7.2012, p.38).</w:t>
      </w:r>
    </w:p>
    <w:p>
      <w:pPr>
        <w:spacing w:after="0"/>
        <w:jc w:val="left"/>
        <w:rPr>
          <w:sz w:val="20"/>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9"/>
        <w:gridCol w:w="7166"/>
      </w:tblGrid>
      <w:tr>
        <w:trPr>
          <w:trHeight w:val="7391" w:hRule="atLeast"/>
        </w:trPr>
        <w:tc>
          <w:tcPr>
            <w:tcW w:w="7339" w:type="dxa"/>
          </w:tcPr>
          <w:p>
            <w:pPr>
              <w:pStyle w:val="TableParagraph"/>
              <w:ind w:right="96"/>
              <w:jc w:val="both"/>
              <w:rPr>
                <w:sz w:val="24"/>
              </w:rPr>
            </w:pPr>
            <w:r>
              <w:rPr>
                <w:sz w:val="24"/>
              </w:rPr>
              <w:t>The repair or provision of relevant replacement parts of LED modules suffering abrupt failure shall be covered by a warranty for a period of 5 years from the date of installation.</w:t>
            </w:r>
          </w:p>
          <w:p>
            <w:pPr>
              <w:pStyle w:val="TableParagraph"/>
              <w:ind w:left="0"/>
              <w:rPr>
                <w:sz w:val="26"/>
              </w:rPr>
            </w:pPr>
          </w:p>
          <w:p>
            <w:pPr>
              <w:pStyle w:val="TableParagraph"/>
              <w:spacing w:before="165"/>
              <w:jc w:val="both"/>
              <w:rPr>
                <w:b/>
                <w:sz w:val="24"/>
              </w:rPr>
            </w:pPr>
            <w:r>
              <w:rPr>
                <w:b/>
                <w:sz w:val="24"/>
              </w:rPr>
              <w:t>Verification:</w:t>
            </w:r>
          </w:p>
          <w:p>
            <w:pPr>
              <w:pStyle w:val="TableParagraph"/>
              <w:spacing w:before="92"/>
              <w:ind w:right="90"/>
              <w:jc w:val="both"/>
              <w:rPr>
                <w:sz w:val="24"/>
              </w:rPr>
            </w:pPr>
            <w:r>
              <w:rPr>
                <w:sz w:val="24"/>
              </w:rPr>
              <w:t>Test data regarding the maintained lumen output of the light sources shall be provided by an International Laboratory Accreditation Cooperation- accredited laboratory that meets IES LM-80* for actual data and IES TM- 21* for projected data.</w:t>
            </w:r>
          </w:p>
          <w:p>
            <w:pPr>
              <w:pStyle w:val="TableParagraph"/>
              <w:spacing w:before="96"/>
              <w:ind w:right="93"/>
              <w:jc w:val="both"/>
              <w:rPr>
                <w:sz w:val="24"/>
              </w:rPr>
            </w:pPr>
            <w:r>
              <w:rPr>
                <w:sz w:val="24"/>
              </w:rPr>
              <w:t>The tenderer shall provide a copy of the minimum 5-year warranty to be signed if the tender is successful.</w:t>
            </w:r>
          </w:p>
          <w:p>
            <w:pPr>
              <w:pStyle w:val="TableParagraph"/>
              <w:spacing w:before="96"/>
              <w:ind w:right="92"/>
              <w:jc w:val="both"/>
              <w:rPr>
                <w:sz w:val="24"/>
              </w:rPr>
            </w:pPr>
            <w:r>
              <w:rPr>
                <w:sz w:val="24"/>
              </w:rPr>
              <w:t>The contractor shall provide a copy of the warranty that will apply if the tender is successful and provide the necessary contact details (phone and email as a minimum) for dealing with any related queries or potential claims.</w:t>
            </w:r>
          </w:p>
          <w:p>
            <w:pPr>
              <w:pStyle w:val="TableParagraph"/>
              <w:spacing w:before="96"/>
              <w:ind w:right="92"/>
              <w:jc w:val="both"/>
              <w:rPr>
                <w:sz w:val="24"/>
              </w:rPr>
            </w:pPr>
            <w:r>
              <w:rPr>
                <w:sz w:val="24"/>
              </w:rPr>
              <w:t>For clarity, the warranty shall, as a minimum, cover the repair or replacement costs of faulty LED module parts within a reasonable timeframe after notification of the fault (to be defined by the procurer in the ITT), either directly or via other nominated agents. Replacement parts should be the same as the originals, but if this is not possible, equivalent spare parts that perform the same function to the same or to a higher performance level may be used.</w:t>
            </w:r>
          </w:p>
          <w:p>
            <w:pPr>
              <w:pStyle w:val="TableParagraph"/>
              <w:spacing w:before="96"/>
              <w:jc w:val="both"/>
              <w:rPr>
                <w:sz w:val="24"/>
              </w:rPr>
            </w:pPr>
            <w:r>
              <w:rPr>
                <w:sz w:val="24"/>
              </w:rPr>
              <w:t>The warranty shall not cover the following:</w:t>
            </w:r>
          </w:p>
          <w:p>
            <w:pPr>
              <w:pStyle w:val="TableParagraph"/>
              <w:spacing w:line="264" w:lineRule="exact" w:before="96"/>
              <w:jc w:val="both"/>
              <w:rPr>
                <w:sz w:val="24"/>
              </w:rPr>
            </w:pPr>
            <w:r>
              <w:rPr>
                <w:sz w:val="24"/>
              </w:rPr>
              <w:t>a) faulty operation due to vandalism, accidents or other extreme weather</w:t>
            </w:r>
          </w:p>
        </w:tc>
        <w:tc>
          <w:tcPr>
            <w:tcW w:w="7166" w:type="dxa"/>
          </w:tcPr>
          <w:p>
            <w:pPr>
              <w:pStyle w:val="TableParagraph"/>
              <w:ind w:right="95"/>
              <w:jc w:val="both"/>
              <w:rPr>
                <w:sz w:val="24"/>
              </w:rPr>
            </w:pPr>
            <w:r>
              <w:rPr>
                <w:sz w:val="24"/>
              </w:rPr>
              <w:t>The repair or provision of relevant replacement parts of LED modules suffering abrupt failure shall be covered by a warranty for a period of 7 years from the date of installation.</w:t>
            </w:r>
          </w:p>
          <w:p>
            <w:pPr>
              <w:pStyle w:val="TableParagraph"/>
              <w:ind w:left="0"/>
              <w:rPr>
                <w:sz w:val="26"/>
              </w:rPr>
            </w:pPr>
          </w:p>
          <w:p>
            <w:pPr>
              <w:pStyle w:val="TableParagraph"/>
              <w:spacing w:before="165"/>
              <w:jc w:val="both"/>
              <w:rPr>
                <w:b/>
                <w:sz w:val="24"/>
              </w:rPr>
            </w:pPr>
            <w:r>
              <w:rPr>
                <w:b/>
                <w:sz w:val="24"/>
              </w:rPr>
              <w:t>Verification:</w:t>
            </w:r>
          </w:p>
          <w:p>
            <w:pPr>
              <w:pStyle w:val="TableParagraph"/>
              <w:spacing w:before="92"/>
              <w:ind w:right="91"/>
              <w:jc w:val="both"/>
              <w:rPr>
                <w:sz w:val="24"/>
              </w:rPr>
            </w:pPr>
            <w:r>
              <w:rPr>
                <w:sz w:val="24"/>
              </w:rPr>
              <w:t>Test data regarding the maintained lumen output of the light sources shall be provided by an International Laboratory Accreditation Cooperation-accredited laboratory that meets IES LM-80* for actual data and IES TM-21* for projected data.</w:t>
            </w:r>
          </w:p>
          <w:p>
            <w:pPr>
              <w:pStyle w:val="TableParagraph"/>
              <w:spacing w:before="96"/>
              <w:ind w:right="92"/>
              <w:jc w:val="both"/>
              <w:rPr>
                <w:sz w:val="24"/>
              </w:rPr>
            </w:pPr>
            <w:r>
              <w:rPr>
                <w:sz w:val="24"/>
              </w:rPr>
              <w:t>The tenderer shall provide a copy of the minimum 7-year warranty to be signed if the tender is successful.</w:t>
            </w:r>
          </w:p>
          <w:p>
            <w:pPr>
              <w:pStyle w:val="TableParagraph"/>
              <w:spacing w:before="96"/>
              <w:ind w:right="94"/>
              <w:jc w:val="both"/>
              <w:rPr>
                <w:sz w:val="24"/>
              </w:rPr>
            </w:pPr>
            <w:r>
              <w:rPr>
                <w:sz w:val="24"/>
              </w:rPr>
              <w:t>The contractor shall provide a copy of the warranty that will apply if the tender is successful and provide the necessary contact details (phone and email as a minimum) for dealing with any related queries or potential</w:t>
            </w:r>
            <w:r>
              <w:rPr>
                <w:spacing w:val="-1"/>
                <w:sz w:val="24"/>
              </w:rPr>
              <w:t> </w:t>
            </w:r>
            <w:r>
              <w:rPr>
                <w:sz w:val="24"/>
              </w:rPr>
              <w:t>claims.</w:t>
            </w:r>
          </w:p>
          <w:p>
            <w:pPr>
              <w:pStyle w:val="TableParagraph"/>
              <w:spacing w:before="96"/>
              <w:ind w:right="93"/>
              <w:jc w:val="both"/>
              <w:rPr>
                <w:sz w:val="24"/>
              </w:rPr>
            </w:pPr>
            <w:r>
              <w:rPr>
                <w:sz w:val="24"/>
              </w:rPr>
              <w:t>For clarity, the warranty shall, as a minimum, cover the repair or replacement costs of faulty LED module parts within a reasonable timeframe after notification of the fault (to be defined by the procurer in the ITT), either directly or via other nominated agents. Replacement parts should be the same as the originals, but if this is not possible, equivalent spare parts that perform the same function to the same or to a higher performance level may be used.</w:t>
            </w:r>
          </w:p>
          <w:p>
            <w:pPr>
              <w:pStyle w:val="TableParagraph"/>
              <w:spacing w:before="96"/>
              <w:jc w:val="both"/>
              <w:rPr>
                <w:sz w:val="24"/>
              </w:rPr>
            </w:pPr>
            <w:r>
              <w:rPr>
                <w:sz w:val="24"/>
              </w:rPr>
              <w:t>The warranty shall not cover the following:</w:t>
            </w:r>
          </w:p>
          <w:p>
            <w:pPr>
              <w:pStyle w:val="TableParagraph"/>
              <w:spacing w:line="264" w:lineRule="exact" w:before="96"/>
              <w:jc w:val="both"/>
              <w:rPr>
                <w:sz w:val="24"/>
              </w:rPr>
            </w:pPr>
            <w:r>
              <w:rPr>
                <w:sz w:val="24"/>
              </w:rPr>
              <w:t>a) faulty operation due to vandalism, accidents or other extreme</w:t>
            </w:r>
          </w:p>
        </w:tc>
      </w:tr>
    </w:tbl>
    <w:p>
      <w:pPr>
        <w:spacing w:after="0" w:line="264" w:lineRule="exact"/>
        <w:jc w:val="both"/>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9"/>
        <w:gridCol w:w="7166"/>
      </w:tblGrid>
      <w:tr>
        <w:trPr>
          <w:trHeight w:val="2017" w:hRule="atLeast"/>
        </w:trPr>
        <w:tc>
          <w:tcPr>
            <w:tcW w:w="7339" w:type="dxa"/>
          </w:tcPr>
          <w:p>
            <w:pPr>
              <w:pStyle w:val="TableParagraph"/>
              <w:spacing w:line="268" w:lineRule="exact"/>
              <w:ind w:left="510"/>
              <w:rPr>
                <w:sz w:val="24"/>
              </w:rPr>
            </w:pPr>
            <w:r>
              <w:rPr>
                <w:sz w:val="24"/>
              </w:rPr>
              <w:t>events;</w:t>
            </w:r>
          </w:p>
          <w:p>
            <w:pPr>
              <w:pStyle w:val="TableParagraph"/>
              <w:spacing w:before="96"/>
              <w:ind w:left="510" w:right="93" w:hanging="401"/>
              <w:jc w:val="both"/>
              <w:rPr>
                <w:sz w:val="24"/>
              </w:rPr>
            </w:pPr>
            <w:r>
              <w:rPr>
                <w:sz w:val="24"/>
              </w:rPr>
              <w:t>b) lamps or luminaires that have been working for a significant time under abnormal conditions (e.g. used with the wrong line voltage), insofar as this can be proven by the</w:t>
            </w:r>
            <w:r>
              <w:rPr>
                <w:spacing w:val="-15"/>
                <w:sz w:val="24"/>
              </w:rPr>
              <w:t> </w:t>
            </w:r>
            <w:r>
              <w:rPr>
                <w:sz w:val="24"/>
              </w:rPr>
              <w:t>contractor.</w:t>
            </w:r>
          </w:p>
          <w:p>
            <w:pPr>
              <w:pStyle w:val="TableParagraph"/>
              <w:spacing w:before="98"/>
              <w:rPr>
                <w:i/>
                <w:sz w:val="22"/>
              </w:rPr>
            </w:pPr>
            <w:r>
              <w:rPr>
                <w:sz w:val="22"/>
              </w:rPr>
              <w:t>*</w:t>
            </w:r>
            <w:r>
              <w:rPr>
                <w:i/>
                <w:sz w:val="22"/>
              </w:rPr>
              <w:t>To be updated to LM-84 and TM 28 when these versions are published.</w:t>
            </w:r>
          </w:p>
        </w:tc>
        <w:tc>
          <w:tcPr>
            <w:tcW w:w="7166" w:type="dxa"/>
          </w:tcPr>
          <w:p>
            <w:pPr>
              <w:pStyle w:val="TableParagraph"/>
              <w:spacing w:line="268" w:lineRule="exact"/>
              <w:ind w:left="551"/>
              <w:rPr>
                <w:sz w:val="24"/>
              </w:rPr>
            </w:pPr>
            <w:r>
              <w:rPr>
                <w:sz w:val="24"/>
              </w:rPr>
              <w:t>weather events;</w:t>
            </w:r>
          </w:p>
          <w:p>
            <w:pPr>
              <w:pStyle w:val="TableParagraph"/>
              <w:spacing w:before="96"/>
              <w:ind w:left="551" w:right="91" w:hanging="442"/>
              <w:jc w:val="both"/>
              <w:rPr>
                <w:sz w:val="24"/>
              </w:rPr>
            </w:pPr>
            <w:r>
              <w:rPr>
                <w:sz w:val="24"/>
              </w:rPr>
              <w:t>b) lamps or luminaires that have been working for a significant time under abnormal conditions (e.g. used with the wrong line voltage), insofar as this can be proven by the contractor.</w:t>
            </w:r>
          </w:p>
          <w:p>
            <w:pPr>
              <w:pStyle w:val="TableParagraph"/>
              <w:spacing w:before="98"/>
              <w:rPr>
                <w:i/>
                <w:sz w:val="22"/>
              </w:rPr>
            </w:pPr>
            <w:r>
              <w:rPr>
                <w:sz w:val="22"/>
              </w:rPr>
              <w:t>*</w:t>
            </w:r>
            <w:r>
              <w:rPr>
                <w:i/>
                <w:sz w:val="22"/>
              </w:rPr>
              <w:t>To be updated to LM-84 and TM 28 when these versions are published.</w:t>
            </w:r>
          </w:p>
        </w:tc>
      </w:tr>
      <w:tr>
        <w:trPr>
          <w:trHeight w:val="5411" w:hRule="atLeast"/>
        </w:trPr>
        <w:tc>
          <w:tcPr>
            <w:tcW w:w="14505" w:type="dxa"/>
            <w:gridSpan w:val="2"/>
          </w:tcPr>
          <w:p>
            <w:pPr>
              <w:pStyle w:val="TableParagraph"/>
              <w:spacing w:before="92"/>
              <w:rPr>
                <w:b/>
                <w:sz w:val="24"/>
              </w:rPr>
            </w:pPr>
            <w:r>
              <w:rPr>
                <w:b/>
                <w:sz w:val="24"/>
              </w:rPr>
              <w:t>TS13. Reparability</w:t>
            </w:r>
          </w:p>
          <w:p>
            <w:pPr>
              <w:pStyle w:val="TableParagraph"/>
              <w:spacing w:before="91"/>
              <w:rPr>
                <w:i/>
                <w:sz w:val="24"/>
              </w:rPr>
            </w:pPr>
            <w:r>
              <w:rPr>
                <w:i/>
                <w:sz w:val="24"/>
              </w:rPr>
              <w:t>(Same for core and comprehensive</w:t>
            </w:r>
            <w:r>
              <w:rPr>
                <w:i/>
                <w:spacing w:val="-28"/>
                <w:sz w:val="24"/>
              </w:rPr>
              <w:t> </w:t>
            </w:r>
            <w:r>
              <w:rPr>
                <w:i/>
                <w:sz w:val="24"/>
              </w:rPr>
              <w:t>criteria.)</w:t>
            </w:r>
          </w:p>
          <w:p>
            <w:pPr>
              <w:pStyle w:val="TableParagraph"/>
              <w:ind w:left="0"/>
              <w:rPr>
                <w:sz w:val="26"/>
              </w:rPr>
            </w:pPr>
          </w:p>
          <w:p>
            <w:pPr>
              <w:pStyle w:val="TableParagraph"/>
              <w:spacing w:before="194"/>
              <w:rPr>
                <w:sz w:val="24"/>
              </w:rPr>
            </w:pPr>
            <w:r>
              <w:rPr>
                <w:sz w:val="24"/>
              </w:rPr>
              <w:t>The tenderer shall make sure that it is feasible and practical for a professional to access components (e.g. light source, lamp, LED module, driver) after the luminaire has been put into</w:t>
            </w:r>
            <w:r>
              <w:rPr>
                <w:spacing w:val="-3"/>
                <w:sz w:val="24"/>
              </w:rPr>
              <w:t> </w:t>
            </w:r>
            <w:r>
              <w:rPr>
                <w:sz w:val="24"/>
              </w:rPr>
              <w:t>service.</w:t>
            </w:r>
          </w:p>
          <w:p>
            <w:pPr>
              <w:pStyle w:val="TableParagraph"/>
              <w:spacing w:before="96"/>
              <w:rPr>
                <w:sz w:val="24"/>
              </w:rPr>
            </w:pPr>
            <w:r>
              <w:rPr>
                <w:sz w:val="24"/>
              </w:rPr>
              <w:t>Components must be identifiable, accessible and removable without damaging the component or the luminaire.</w:t>
            </w:r>
          </w:p>
          <w:p>
            <w:pPr>
              <w:pStyle w:val="TableParagraph"/>
              <w:spacing w:before="96"/>
              <w:ind w:right="128"/>
              <w:rPr>
                <w:sz w:val="24"/>
              </w:rPr>
            </w:pPr>
            <w:r>
              <w:rPr>
                <w:sz w:val="24"/>
              </w:rPr>
              <w:t>Replacement of components shall be able to be performed on site (i.e. at luminaire mounting height), without tools (i.e. plug and play) or with one of the following types of</w:t>
            </w:r>
            <w:r>
              <w:rPr>
                <w:spacing w:val="-5"/>
                <w:sz w:val="24"/>
              </w:rPr>
              <w:t> </w:t>
            </w:r>
            <w:r>
              <w:rPr>
                <w:sz w:val="24"/>
              </w:rPr>
              <w:t>screwdriver:</w:t>
            </w:r>
          </w:p>
          <w:p>
            <w:pPr>
              <w:pStyle w:val="TableParagraph"/>
              <w:spacing w:before="96"/>
              <w:rPr>
                <w:sz w:val="24"/>
              </w:rPr>
            </w:pPr>
            <w:r>
              <w:rPr>
                <w:sz w:val="24"/>
              </w:rPr>
              <w:t>- standard, Pozidriv, Phillips, Torx, Allen key or combination wrench.</w:t>
            </w:r>
          </w:p>
          <w:p>
            <w:pPr>
              <w:pStyle w:val="TableParagraph"/>
              <w:ind w:left="0"/>
              <w:rPr>
                <w:sz w:val="26"/>
              </w:rPr>
            </w:pPr>
          </w:p>
          <w:p>
            <w:pPr>
              <w:pStyle w:val="TableParagraph"/>
              <w:spacing w:before="173"/>
              <w:rPr>
                <w:b/>
                <w:sz w:val="24"/>
              </w:rPr>
            </w:pPr>
            <w:r>
              <w:rPr>
                <w:b/>
                <w:sz w:val="24"/>
              </w:rPr>
              <w:t>Verification:</w:t>
            </w:r>
          </w:p>
          <w:p>
            <w:pPr>
              <w:pStyle w:val="TableParagraph"/>
              <w:spacing w:before="92"/>
              <w:ind w:right="128"/>
              <w:rPr>
                <w:sz w:val="24"/>
              </w:rPr>
            </w:pPr>
            <w:r>
              <w:rPr>
                <w:sz w:val="24"/>
              </w:rPr>
              <w:t>The tenderer shall provide a technical manual, which shall include an exploded diagram of the luminaire illustrating the parts that can be accessed and replaced. The parts covered by service agreements under the warranty must also be indicated.</w:t>
            </w:r>
          </w:p>
        </w:tc>
      </w:tr>
    </w:tbl>
    <w:p>
      <w:pPr>
        <w:spacing w:after="0"/>
        <w:rPr>
          <w:sz w:val="24"/>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39"/>
        <w:gridCol w:w="7166"/>
      </w:tblGrid>
      <w:tr>
        <w:trPr>
          <w:trHeight w:val="4345" w:hRule="atLeast"/>
        </w:trPr>
        <w:tc>
          <w:tcPr>
            <w:tcW w:w="14505" w:type="dxa"/>
            <w:gridSpan w:val="2"/>
          </w:tcPr>
          <w:p>
            <w:pPr>
              <w:pStyle w:val="TableParagraph"/>
              <w:spacing w:before="92"/>
              <w:rPr>
                <w:b/>
                <w:sz w:val="24"/>
              </w:rPr>
            </w:pPr>
            <w:r>
              <w:rPr>
                <w:b/>
                <w:sz w:val="24"/>
              </w:rPr>
              <w:t>TS14. Ingress Protection (IP) rating</w:t>
            </w:r>
          </w:p>
          <w:p>
            <w:pPr>
              <w:pStyle w:val="TableParagraph"/>
              <w:spacing w:before="91"/>
              <w:rPr>
                <w:i/>
                <w:sz w:val="24"/>
              </w:rPr>
            </w:pPr>
            <w:r>
              <w:rPr>
                <w:i/>
                <w:sz w:val="24"/>
              </w:rPr>
              <w:t>(Same for core and comprehensive criteria.)</w:t>
            </w:r>
          </w:p>
          <w:p>
            <w:pPr>
              <w:pStyle w:val="TableParagraph"/>
              <w:ind w:left="0"/>
              <w:rPr>
                <w:sz w:val="26"/>
              </w:rPr>
            </w:pPr>
          </w:p>
          <w:p>
            <w:pPr>
              <w:pStyle w:val="TableParagraph"/>
              <w:spacing w:before="194"/>
              <w:rPr>
                <w:sz w:val="24"/>
              </w:rPr>
            </w:pPr>
            <w:r>
              <w:rPr>
                <w:sz w:val="24"/>
              </w:rPr>
              <w:t>Luminaires for M- and C-class roads shall have an optical system with an ingress protection rating of IP65 or higher, depending on the local conditions.</w:t>
            </w:r>
          </w:p>
          <w:p>
            <w:pPr>
              <w:pStyle w:val="TableParagraph"/>
              <w:spacing w:before="96"/>
              <w:rPr>
                <w:sz w:val="24"/>
              </w:rPr>
            </w:pPr>
            <w:r>
              <w:rPr>
                <w:sz w:val="24"/>
              </w:rPr>
              <w:t>Luminaires for P-class roads shall be IP55 or higher, depending on the local conditions.</w:t>
            </w:r>
          </w:p>
          <w:p>
            <w:pPr>
              <w:pStyle w:val="TableParagraph"/>
              <w:ind w:left="0"/>
              <w:rPr>
                <w:sz w:val="26"/>
              </w:rPr>
            </w:pPr>
          </w:p>
          <w:p>
            <w:pPr>
              <w:pStyle w:val="TableParagraph"/>
              <w:spacing w:before="173"/>
              <w:rPr>
                <w:b/>
                <w:sz w:val="24"/>
              </w:rPr>
            </w:pPr>
            <w:r>
              <w:rPr>
                <w:b/>
                <w:sz w:val="24"/>
              </w:rPr>
              <w:t>Verification:</w:t>
            </w:r>
          </w:p>
          <w:p>
            <w:pPr>
              <w:pStyle w:val="TableParagraph"/>
              <w:spacing w:before="92"/>
              <w:rPr>
                <w:sz w:val="24"/>
              </w:rPr>
            </w:pPr>
            <w:r>
              <w:rPr>
                <w:sz w:val="24"/>
              </w:rPr>
              <w:t>The tenderer shall provide the technical specifications, demonstrating that this criterion has been met according to IEC 60598-1 clause 9.</w:t>
            </w:r>
          </w:p>
          <w:p>
            <w:pPr>
              <w:pStyle w:val="TableParagraph"/>
              <w:ind w:left="0"/>
              <w:rPr>
                <w:sz w:val="26"/>
              </w:rPr>
            </w:pPr>
          </w:p>
          <w:p>
            <w:pPr>
              <w:pStyle w:val="TableParagraph"/>
              <w:spacing w:before="171"/>
              <w:rPr>
                <w:i/>
                <w:sz w:val="22"/>
              </w:rPr>
            </w:pPr>
            <w:r>
              <w:rPr>
                <w:i/>
                <w:sz w:val="22"/>
              </w:rPr>
              <w:t>Note: The tests for the ingress of dust, solid objects and moisture specified in IEC 60598-1 are not all identical to the tests in IEC 60529 because of the technical </w:t>
            </w:r>
            <w:r>
              <w:rPr>
                <w:i/>
                <w:sz w:val="22"/>
              </w:rPr>
              <w:t>characteristics of luminaires. An explanation of the IP numbering system is given in Annex J of the standard.</w:t>
            </w:r>
          </w:p>
        </w:tc>
      </w:tr>
      <w:tr>
        <w:trPr>
          <w:trHeight w:val="3155" w:hRule="atLeast"/>
        </w:trPr>
        <w:tc>
          <w:tcPr>
            <w:tcW w:w="7339" w:type="dxa"/>
          </w:tcPr>
          <w:p>
            <w:pPr>
              <w:pStyle w:val="TableParagraph"/>
              <w:spacing w:before="92"/>
              <w:rPr>
                <w:b/>
                <w:sz w:val="24"/>
              </w:rPr>
            </w:pPr>
            <w:r>
              <w:rPr>
                <w:b/>
                <w:sz w:val="24"/>
              </w:rPr>
              <w:t>TS15. Failure rate of control gear</w:t>
            </w:r>
          </w:p>
          <w:p>
            <w:pPr>
              <w:pStyle w:val="TableParagraph"/>
              <w:spacing w:before="91"/>
              <w:ind w:right="195"/>
              <w:rPr>
                <w:sz w:val="24"/>
              </w:rPr>
            </w:pPr>
            <w:r>
              <w:rPr>
                <w:sz w:val="24"/>
              </w:rPr>
              <w:t>The specified control gear failure rate shall be lower than  0.2 % per  1000 h and be covered by an 8-year warranty for control</w:t>
            </w:r>
            <w:r>
              <w:rPr>
                <w:spacing w:val="-20"/>
                <w:sz w:val="24"/>
              </w:rPr>
              <w:t> </w:t>
            </w:r>
            <w:r>
              <w:rPr>
                <w:sz w:val="24"/>
              </w:rPr>
              <w:t>gear.</w:t>
            </w:r>
          </w:p>
          <w:p>
            <w:pPr>
              <w:pStyle w:val="TableParagraph"/>
              <w:ind w:left="0"/>
              <w:rPr>
                <w:sz w:val="26"/>
              </w:rPr>
            </w:pPr>
          </w:p>
          <w:p>
            <w:pPr>
              <w:pStyle w:val="TableParagraph"/>
              <w:spacing w:before="174"/>
              <w:rPr>
                <w:b/>
                <w:sz w:val="24"/>
              </w:rPr>
            </w:pPr>
            <w:r>
              <w:rPr>
                <w:b/>
                <w:sz w:val="24"/>
              </w:rPr>
              <w:t>Verification:</w:t>
            </w:r>
          </w:p>
          <w:p>
            <w:pPr>
              <w:pStyle w:val="TableParagraph"/>
              <w:spacing w:before="92"/>
              <w:ind w:right="95"/>
              <w:jc w:val="both"/>
              <w:rPr>
                <w:sz w:val="24"/>
              </w:rPr>
            </w:pPr>
            <w:r>
              <w:rPr>
                <w:sz w:val="24"/>
              </w:rPr>
              <w:t>The tenderer shall provide a declaration of compliance with the above failure rate for any control gear it intends to supply. The declaration shall be supported by relevant industry-standard testing procedures.</w:t>
            </w:r>
          </w:p>
        </w:tc>
        <w:tc>
          <w:tcPr>
            <w:tcW w:w="7166" w:type="dxa"/>
          </w:tcPr>
          <w:p>
            <w:pPr>
              <w:pStyle w:val="TableParagraph"/>
              <w:spacing w:before="92"/>
              <w:rPr>
                <w:b/>
                <w:sz w:val="24"/>
              </w:rPr>
            </w:pPr>
            <w:r>
              <w:rPr>
                <w:b/>
                <w:sz w:val="24"/>
              </w:rPr>
              <w:t>TS15. Failure rate of control gear</w:t>
            </w:r>
          </w:p>
          <w:p>
            <w:pPr>
              <w:pStyle w:val="TableParagraph"/>
              <w:spacing w:before="91"/>
              <w:ind w:right="202"/>
              <w:rPr>
                <w:sz w:val="24"/>
              </w:rPr>
            </w:pPr>
            <w:r>
              <w:rPr>
                <w:sz w:val="24"/>
              </w:rPr>
              <w:t>The specified control  gear failure rate  shall be lower  than  0.1 % per  1 000 h and be covered by a 10-year warranty for control</w:t>
            </w:r>
            <w:r>
              <w:rPr>
                <w:spacing w:val="-22"/>
                <w:sz w:val="24"/>
              </w:rPr>
              <w:t> </w:t>
            </w:r>
            <w:r>
              <w:rPr>
                <w:sz w:val="24"/>
              </w:rPr>
              <w:t>gear.</w:t>
            </w:r>
          </w:p>
          <w:p>
            <w:pPr>
              <w:pStyle w:val="TableParagraph"/>
              <w:ind w:left="0"/>
              <w:rPr>
                <w:sz w:val="26"/>
              </w:rPr>
            </w:pPr>
          </w:p>
          <w:p>
            <w:pPr>
              <w:pStyle w:val="TableParagraph"/>
              <w:spacing w:before="174"/>
              <w:rPr>
                <w:b/>
                <w:sz w:val="24"/>
              </w:rPr>
            </w:pPr>
            <w:r>
              <w:rPr>
                <w:b/>
                <w:sz w:val="24"/>
              </w:rPr>
              <w:t>Verification:</w:t>
            </w:r>
          </w:p>
          <w:p>
            <w:pPr>
              <w:pStyle w:val="TableParagraph"/>
              <w:spacing w:before="92"/>
              <w:ind w:right="93"/>
              <w:jc w:val="both"/>
              <w:rPr>
                <w:sz w:val="24"/>
              </w:rPr>
            </w:pPr>
            <w:r>
              <w:rPr>
                <w:sz w:val="24"/>
              </w:rPr>
              <w:t>The tenderer shall provide a declaration of compliance with the above failure rate for any control gear it intends to supply. The declaration shall be supported by relevant industry-standard testing procedures.</w:t>
            </w:r>
          </w:p>
        </w:tc>
      </w:tr>
    </w:tbl>
    <w:p>
      <w:pPr>
        <w:spacing w:after="0"/>
        <w:jc w:val="both"/>
        <w:rPr>
          <w:sz w:val="24"/>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7506" w:hRule="atLeast"/>
        </w:trPr>
        <w:tc>
          <w:tcPr>
            <w:tcW w:w="14506" w:type="dxa"/>
          </w:tcPr>
          <w:p>
            <w:pPr>
              <w:pStyle w:val="TableParagraph"/>
              <w:spacing w:before="92"/>
              <w:jc w:val="both"/>
              <w:rPr>
                <w:b/>
                <w:sz w:val="24"/>
              </w:rPr>
            </w:pPr>
            <w:r>
              <w:rPr>
                <w:b/>
                <w:sz w:val="24"/>
              </w:rPr>
              <w:t>TS16. Labelling of LED luminaires</w:t>
            </w:r>
          </w:p>
          <w:p>
            <w:pPr>
              <w:pStyle w:val="TableParagraph"/>
              <w:spacing w:before="96"/>
              <w:jc w:val="both"/>
              <w:rPr>
                <w:b/>
                <w:i/>
                <w:sz w:val="24"/>
              </w:rPr>
            </w:pPr>
            <w:r>
              <w:rPr>
                <w:b/>
                <w:i/>
                <w:sz w:val="24"/>
              </w:rPr>
              <w:t>(Applicable when new LED luminaires are installed.)</w:t>
            </w:r>
          </w:p>
          <w:p>
            <w:pPr>
              <w:pStyle w:val="TableParagraph"/>
              <w:spacing w:before="91"/>
              <w:jc w:val="both"/>
              <w:rPr>
                <w:i/>
                <w:sz w:val="24"/>
              </w:rPr>
            </w:pPr>
            <w:r>
              <w:rPr>
                <w:i/>
                <w:sz w:val="24"/>
              </w:rPr>
              <w:t>(Same for core and comprehensive criteria.)</w:t>
            </w:r>
          </w:p>
          <w:p>
            <w:pPr>
              <w:pStyle w:val="TableParagraph"/>
              <w:ind w:left="0"/>
              <w:rPr>
                <w:sz w:val="26"/>
              </w:rPr>
            </w:pPr>
          </w:p>
          <w:p>
            <w:pPr>
              <w:pStyle w:val="TableParagraph"/>
              <w:spacing w:before="194"/>
              <w:jc w:val="both"/>
              <w:rPr>
                <w:sz w:val="24"/>
              </w:rPr>
            </w:pPr>
            <w:r>
              <w:rPr>
                <w:sz w:val="24"/>
              </w:rPr>
              <w:t>The luminaires proposed to be installed by the tenderer shall carry, as a minimum, the following technical information:</w:t>
            </w:r>
          </w:p>
          <w:p>
            <w:pPr>
              <w:pStyle w:val="TableParagraph"/>
              <w:numPr>
                <w:ilvl w:val="0"/>
                <w:numId w:val="34"/>
              </w:numPr>
              <w:tabs>
                <w:tab w:pos="831" w:val="left" w:leader="none"/>
              </w:tabs>
              <w:spacing w:line="240" w:lineRule="auto" w:before="115" w:after="0"/>
              <w:ind w:left="830" w:right="0" w:hanging="360"/>
              <w:jc w:val="left"/>
              <w:rPr>
                <w:sz w:val="24"/>
              </w:rPr>
            </w:pPr>
            <w:r>
              <w:rPr>
                <w:sz w:val="24"/>
              </w:rPr>
              <w:t>manufacturer's name, code, serial number and date of</w:t>
            </w:r>
            <w:r>
              <w:rPr>
                <w:spacing w:val="-7"/>
                <w:sz w:val="24"/>
              </w:rPr>
              <w:t> </w:t>
            </w:r>
            <w:r>
              <w:rPr>
                <w:sz w:val="24"/>
              </w:rPr>
              <w:t>manufacture;</w:t>
            </w:r>
          </w:p>
          <w:p>
            <w:pPr>
              <w:pStyle w:val="TableParagraph"/>
              <w:numPr>
                <w:ilvl w:val="0"/>
                <w:numId w:val="34"/>
              </w:numPr>
              <w:tabs>
                <w:tab w:pos="831" w:val="left" w:leader="none"/>
              </w:tabs>
              <w:spacing w:line="240" w:lineRule="auto" w:before="92" w:after="0"/>
              <w:ind w:left="830" w:right="0" w:hanging="360"/>
              <w:jc w:val="left"/>
              <w:rPr>
                <w:sz w:val="24"/>
              </w:rPr>
            </w:pPr>
            <w:r>
              <w:rPr>
                <w:sz w:val="24"/>
              </w:rPr>
              <w:t>input power</w:t>
            </w:r>
            <w:r>
              <w:rPr>
                <w:spacing w:val="-3"/>
                <w:sz w:val="24"/>
              </w:rPr>
              <w:t> </w:t>
            </w:r>
            <w:r>
              <w:rPr>
                <w:sz w:val="24"/>
              </w:rPr>
              <w:t>rating;</w:t>
            </w:r>
          </w:p>
          <w:p>
            <w:pPr>
              <w:pStyle w:val="TableParagraph"/>
              <w:numPr>
                <w:ilvl w:val="0"/>
                <w:numId w:val="34"/>
              </w:numPr>
              <w:tabs>
                <w:tab w:pos="831" w:val="left" w:leader="none"/>
              </w:tabs>
              <w:spacing w:line="240" w:lineRule="auto" w:before="93" w:after="0"/>
              <w:ind w:left="830" w:right="0" w:hanging="360"/>
              <w:jc w:val="left"/>
              <w:rPr>
                <w:sz w:val="24"/>
              </w:rPr>
            </w:pPr>
            <w:r>
              <w:rPr>
                <w:sz w:val="24"/>
              </w:rPr>
              <w:t>luminous flux at</w:t>
            </w:r>
            <w:r>
              <w:rPr>
                <w:spacing w:val="1"/>
                <w:sz w:val="24"/>
              </w:rPr>
              <w:t> </w:t>
            </w:r>
            <w:r>
              <w:rPr>
                <w:sz w:val="24"/>
              </w:rPr>
              <w:t>25°C;</w:t>
            </w:r>
          </w:p>
          <w:p>
            <w:pPr>
              <w:pStyle w:val="TableParagraph"/>
              <w:numPr>
                <w:ilvl w:val="0"/>
                <w:numId w:val="34"/>
              </w:numPr>
              <w:tabs>
                <w:tab w:pos="831" w:val="left" w:leader="none"/>
              </w:tabs>
              <w:spacing w:line="240" w:lineRule="auto" w:before="95" w:after="0"/>
              <w:ind w:left="830" w:right="0" w:hanging="360"/>
              <w:jc w:val="left"/>
              <w:rPr>
                <w:sz w:val="24"/>
              </w:rPr>
            </w:pPr>
            <w:r>
              <w:rPr>
                <w:sz w:val="24"/>
              </w:rPr>
              <w:t>upward Light</w:t>
            </w:r>
            <w:r>
              <w:rPr>
                <w:spacing w:val="1"/>
                <w:sz w:val="24"/>
              </w:rPr>
              <w:t> </w:t>
            </w:r>
            <w:r>
              <w:rPr>
                <w:sz w:val="24"/>
              </w:rPr>
              <w:t>Ratio;</w:t>
            </w:r>
          </w:p>
          <w:p>
            <w:pPr>
              <w:pStyle w:val="TableParagraph"/>
              <w:numPr>
                <w:ilvl w:val="0"/>
                <w:numId w:val="34"/>
              </w:numPr>
              <w:tabs>
                <w:tab w:pos="831" w:val="left" w:leader="none"/>
              </w:tabs>
              <w:spacing w:line="240" w:lineRule="auto" w:before="93" w:after="0"/>
              <w:ind w:left="830" w:right="0" w:hanging="360"/>
              <w:jc w:val="left"/>
              <w:rPr>
                <w:sz w:val="24"/>
              </w:rPr>
            </w:pPr>
            <w:r>
              <w:rPr>
                <w:sz w:val="24"/>
              </w:rPr>
              <w:t>CIE flux codes;</w:t>
            </w:r>
          </w:p>
          <w:p>
            <w:pPr>
              <w:pStyle w:val="TableParagraph"/>
              <w:numPr>
                <w:ilvl w:val="0"/>
                <w:numId w:val="34"/>
              </w:numPr>
              <w:tabs>
                <w:tab w:pos="831" w:val="left" w:leader="none"/>
              </w:tabs>
              <w:spacing w:line="240" w:lineRule="auto" w:before="92" w:after="0"/>
              <w:ind w:left="830" w:right="0" w:hanging="360"/>
              <w:jc w:val="left"/>
              <w:rPr>
                <w:sz w:val="24"/>
              </w:rPr>
            </w:pPr>
            <w:r>
              <w:rPr>
                <w:sz w:val="24"/>
              </w:rPr>
              <w:t>correlated colour temperature</w:t>
            </w:r>
            <w:r>
              <w:rPr>
                <w:spacing w:val="-4"/>
                <w:sz w:val="24"/>
              </w:rPr>
              <w:t> </w:t>
            </w:r>
            <w:r>
              <w:rPr>
                <w:sz w:val="24"/>
              </w:rPr>
              <w:t>(CCT);</w:t>
            </w:r>
          </w:p>
          <w:p>
            <w:pPr>
              <w:pStyle w:val="TableParagraph"/>
              <w:numPr>
                <w:ilvl w:val="0"/>
                <w:numId w:val="34"/>
              </w:numPr>
              <w:tabs>
                <w:tab w:pos="831" w:val="left" w:leader="none"/>
              </w:tabs>
              <w:spacing w:line="240" w:lineRule="auto" w:before="93" w:after="0"/>
              <w:ind w:left="830" w:right="0" w:hanging="360"/>
              <w:jc w:val="left"/>
              <w:rPr>
                <w:sz w:val="24"/>
              </w:rPr>
            </w:pPr>
            <w:r>
              <w:rPr>
                <w:sz w:val="24"/>
              </w:rPr>
              <w:t>G-index;</w:t>
            </w:r>
          </w:p>
          <w:p>
            <w:pPr>
              <w:pStyle w:val="TableParagraph"/>
              <w:numPr>
                <w:ilvl w:val="0"/>
                <w:numId w:val="34"/>
              </w:numPr>
              <w:tabs>
                <w:tab w:pos="831" w:val="left" w:leader="none"/>
              </w:tabs>
              <w:spacing w:line="240" w:lineRule="auto" w:before="93" w:after="0"/>
              <w:ind w:left="830" w:right="0" w:hanging="360"/>
              <w:jc w:val="left"/>
              <w:rPr>
                <w:sz w:val="24"/>
              </w:rPr>
            </w:pPr>
            <w:r>
              <w:rPr>
                <w:sz w:val="24"/>
              </w:rPr>
              <w:t>indication of the dimming control technology (if</w:t>
            </w:r>
            <w:r>
              <w:rPr>
                <w:spacing w:val="-11"/>
                <w:sz w:val="24"/>
              </w:rPr>
              <w:t> </w:t>
            </w:r>
            <w:r>
              <w:rPr>
                <w:sz w:val="24"/>
              </w:rPr>
              <w:t>applicable).</w:t>
            </w:r>
          </w:p>
          <w:p>
            <w:pPr>
              <w:pStyle w:val="TableParagraph"/>
              <w:spacing w:before="73"/>
              <w:ind w:right="94"/>
              <w:jc w:val="both"/>
              <w:rPr>
                <w:sz w:val="24"/>
              </w:rPr>
            </w:pPr>
            <w:r>
              <w:rPr>
                <w:sz w:val="24"/>
              </w:rPr>
              <w:t>The information should be included in the luminaire and, where possible, also in a part of the light pole that is accessible from ground level. The tenderer should specify how exactly this information will be displayed (e.g. on a label with a QR code, a label with written information or a metal plate with engravings).</w:t>
            </w:r>
          </w:p>
          <w:p>
            <w:pPr>
              <w:pStyle w:val="TableParagraph"/>
              <w:ind w:left="0"/>
              <w:rPr>
                <w:sz w:val="26"/>
              </w:rPr>
            </w:pPr>
          </w:p>
          <w:p>
            <w:pPr>
              <w:pStyle w:val="TableParagraph"/>
              <w:spacing w:before="174"/>
              <w:jc w:val="both"/>
              <w:rPr>
                <w:b/>
                <w:sz w:val="24"/>
              </w:rPr>
            </w:pPr>
            <w:r>
              <w:rPr>
                <w:b/>
                <w:sz w:val="24"/>
              </w:rPr>
              <w:t>Verification:</w:t>
            </w:r>
          </w:p>
          <w:p>
            <w:pPr>
              <w:pStyle w:val="TableParagraph"/>
              <w:spacing w:before="91"/>
              <w:jc w:val="both"/>
              <w:rPr>
                <w:sz w:val="24"/>
              </w:rPr>
            </w:pPr>
            <w:r>
              <w:rPr>
                <w:sz w:val="24"/>
              </w:rPr>
              <w:t>The tenderer shall provide a sample description of the label they propose to provide with their lighting equipment if their tender is successful.</w:t>
            </w:r>
          </w:p>
        </w:tc>
      </w:tr>
    </w:tbl>
    <w:p>
      <w:pPr>
        <w:spacing w:after="0"/>
        <w:jc w:val="both"/>
        <w:rPr>
          <w:sz w:val="24"/>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95" w:hRule="atLeast"/>
        </w:trPr>
        <w:tc>
          <w:tcPr>
            <w:tcW w:w="14506" w:type="dxa"/>
            <w:shd w:val="clear" w:color="auto" w:fill="92D050"/>
          </w:tcPr>
          <w:p>
            <w:pPr>
              <w:pStyle w:val="TableParagraph"/>
              <w:spacing w:before="56"/>
              <w:ind w:left="5051" w:right="5040"/>
              <w:jc w:val="center"/>
              <w:rPr>
                <w:b/>
                <w:sz w:val="24"/>
              </w:rPr>
            </w:pPr>
            <w:r>
              <w:rPr>
                <w:b/>
                <w:sz w:val="24"/>
              </w:rPr>
              <w:t>AWARD CRITERIA</w:t>
            </w:r>
          </w:p>
        </w:tc>
      </w:tr>
      <w:tr>
        <w:trPr>
          <w:trHeight w:val="6957" w:hRule="atLeast"/>
        </w:trPr>
        <w:tc>
          <w:tcPr>
            <w:tcW w:w="14506" w:type="dxa"/>
          </w:tcPr>
          <w:p>
            <w:pPr>
              <w:pStyle w:val="TableParagraph"/>
              <w:spacing w:before="37"/>
              <w:rPr>
                <w:b/>
                <w:sz w:val="24"/>
              </w:rPr>
            </w:pPr>
            <w:r>
              <w:rPr>
                <w:b/>
                <w:sz w:val="24"/>
              </w:rPr>
              <w:t>AC3. Extended Warranty</w:t>
            </w:r>
          </w:p>
          <w:p>
            <w:pPr>
              <w:pStyle w:val="TableParagraph"/>
              <w:spacing w:before="41"/>
              <w:rPr>
                <w:b/>
                <w:i/>
                <w:sz w:val="24"/>
              </w:rPr>
            </w:pPr>
            <w:r>
              <w:rPr>
                <w:b/>
                <w:i/>
                <w:sz w:val="24"/>
              </w:rPr>
              <w:t>(Applies to TS12.)</w:t>
            </w:r>
          </w:p>
          <w:p>
            <w:pPr>
              <w:pStyle w:val="TableParagraph"/>
              <w:spacing w:before="33"/>
              <w:rPr>
                <w:i/>
                <w:sz w:val="24"/>
              </w:rPr>
            </w:pPr>
            <w:r>
              <w:rPr>
                <w:i/>
                <w:sz w:val="24"/>
              </w:rPr>
              <w:t>(Same for core and comprehensive criteria.)</w:t>
            </w:r>
          </w:p>
          <w:p>
            <w:pPr>
              <w:pStyle w:val="TableParagraph"/>
              <w:ind w:left="0"/>
              <w:rPr>
                <w:sz w:val="38"/>
              </w:rPr>
            </w:pPr>
          </w:p>
          <w:p>
            <w:pPr>
              <w:pStyle w:val="TableParagraph"/>
              <w:ind w:right="93"/>
              <w:jc w:val="both"/>
              <w:rPr>
                <w:sz w:val="24"/>
              </w:rPr>
            </w:pPr>
            <w:r>
              <w:rPr>
                <w:sz w:val="24"/>
              </w:rPr>
              <w:t>A maximum of X points shall be awarded to tenderers that are willing to provide initial warranties that go beyond the minimum warranty periods stated in TS12 and whose cost is already included in the bid price. Points shall be awarded in proportion to how long the warranty exceeds the minimum requirements, as follows:</w:t>
            </w:r>
          </w:p>
          <w:p>
            <w:pPr>
              <w:pStyle w:val="TableParagraph"/>
              <w:numPr>
                <w:ilvl w:val="0"/>
                <w:numId w:val="35"/>
              </w:numPr>
              <w:tabs>
                <w:tab w:pos="905" w:val="left" w:leader="none"/>
              </w:tabs>
              <w:spacing w:line="240" w:lineRule="auto" w:before="58" w:after="0"/>
              <w:ind w:left="904" w:right="0" w:hanging="360"/>
              <w:jc w:val="left"/>
              <w:rPr>
                <w:sz w:val="24"/>
              </w:rPr>
            </w:pPr>
            <w:r>
              <w:rPr>
                <w:sz w:val="24"/>
              </w:rPr>
              <w:t>Minimum + 1 year: 0.2X</w:t>
            </w:r>
            <w:r>
              <w:rPr>
                <w:spacing w:val="2"/>
                <w:sz w:val="24"/>
              </w:rPr>
              <w:t> </w:t>
            </w:r>
            <w:r>
              <w:rPr>
                <w:sz w:val="24"/>
              </w:rPr>
              <w:t>points</w:t>
            </w:r>
          </w:p>
          <w:p>
            <w:pPr>
              <w:pStyle w:val="TableParagraph"/>
              <w:numPr>
                <w:ilvl w:val="0"/>
                <w:numId w:val="35"/>
              </w:numPr>
              <w:tabs>
                <w:tab w:pos="905" w:val="left" w:leader="none"/>
              </w:tabs>
              <w:spacing w:line="240" w:lineRule="auto" w:before="35" w:after="0"/>
              <w:ind w:left="904" w:right="0" w:hanging="360"/>
              <w:jc w:val="left"/>
              <w:rPr>
                <w:sz w:val="24"/>
              </w:rPr>
            </w:pPr>
            <w:r>
              <w:rPr>
                <w:sz w:val="24"/>
              </w:rPr>
              <w:t>Minimum + 2 years: 0.4X</w:t>
            </w:r>
            <w:r>
              <w:rPr>
                <w:spacing w:val="-4"/>
                <w:sz w:val="24"/>
              </w:rPr>
              <w:t> </w:t>
            </w:r>
            <w:r>
              <w:rPr>
                <w:sz w:val="24"/>
              </w:rPr>
              <w:t>points</w:t>
            </w:r>
          </w:p>
          <w:p>
            <w:pPr>
              <w:pStyle w:val="TableParagraph"/>
              <w:numPr>
                <w:ilvl w:val="0"/>
                <w:numId w:val="35"/>
              </w:numPr>
              <w:tabs>
                <w:tab w:pos="905" w:val="left" w:leader="none"/>
              </w:tabs>
              <w:spacing w:line="240" w:lineRule="auto" w:before="38" w:after="0"/>
              <w:ind w:left="904" w:right="0" w:hanging="360"/>
              <w:jc w:val="left"/>
              <w:rPr>
                <w:sz w:val="24"/>
              </w:rPr>
            </w:pPr>
            <w:r>
              <w:rPr>
                <w:sz w:val="24"/>
              </w:rPr>
              <w:t>Minimum + 3 years: 0.6X</w:t>
            </w:r>
            <w:r>
              <w:rPr>
                <w:spacing w:val="-4"/>
                <w:sz w:val="24"/>
              </w:rPr>
              <w:t> </w:t>
            </w:r>
            <w:r>
              <w:rPr>
                <w:sz w:val="24"/>
              </w:rPr>
              <w:t>points</w:t>
            </w:r>
          </w:p>
          <w:p>
            <w:pPr>
              <w:pStyle w:val="TableParagraph"/>
              <w:numPr>
                <w:ilvl w:val="0"/>
                <w:numId w:val="35"/>
              </w:numPr>
              <w:tabs>
                <w:tab w:pos="905" w:val="left" w:leader="none"/>
              </w:tabs>
              <w:spacing w:line="240" w:lineRule="auto" w:before="37" w:after="0"/>
              <w:ind w:left="904" w:right="0" w:hanging="360"/>
              <w:jc w:val="left"/>
              <w:rPr>
                <w:sz w:val="24"/>
              </w:rPr>
            </w:pPr>
            <w:r>
              <w:rPr>
                <w:sz w:val="24"/>
              </w:rPr>
              <w:t>Minimum + 4 years: 0.8X</w:t>
            </w:r>
            <w:r>
              <w:rPr>
                <w:spacing w:val="-4"/>
                <w:sz w:val="24"/>
              </w:rPr>
              <w:t> </w:t>
            </w:r>
            <w:r>
              <w:rPr>
                <w:sz w:val="24"/>
              </w:rPr>
              <w:t>points</w:t>
            </w:r>
          </w:p>
          <w:p>
            <w:pPr>
              <w:pStyle w:val="TableParagraph"/>
              <w:numPr>
                <w:ilvl w:val="0"/>
                <w:numId w:val="35"/>
              </w:numPr>
              <w:tabs>
                <w:tab w:pos="905" w:val="left" w:leader="none"/>
              </w:tabs>
              <w:spacing w:line="240" w:lineRule="auto" w:before="37" w:after="0"/>
              <w:ind w:left="904" w:right="0" w:hanging="360"/>
              <w:jc w:val="left"/>
              <w:rPr>
                <w:sz w:val="24"/>
              </w:rPr>
            </w:pPr>
            <w:r>
              <w:rPr>
                <w:sz w:val="24"/>
              </w:rPr>
              <w:t>Minimum + 5 years or more: X</w:t>
            </w:r>
            <w:r>
              <w:rPr>
                <w:spacing w:val="-2"/>
                <w:sz w:val="24"/>
              </w:rPr>
              <w:t> </w:t>
            </w:r>
            <w:r>
              <w:rPr>
                <w:sz w:val="24"/>
              </w:rPr>
              <w:t>points</w:t>
            </w:r>
          </w:p>
          <w:p>
            <w:pPr>
              <w:pStyle w:val="TableParagraph"/>
              <w:spacing w:before="21"/>
              <w:ind w:right="96"/>
              <w:jc w:val="both"/>
              <w:rPr>
                <w:sz w:val="24"/>
              </w:rPr>
            </w:pPr>
            <w:r>
              <w:rPr>
                <w:sz w:val="24"/>
              </w:rPr>
              <w:t>Tenderers may also optionally provide quotations for extended warranties that are not included in the bid price, although points shall not be awarded for this. </w:t>
            </w:r>
            <w:r>
              <w:rPr>
                <w:spacing w:val="-3"/>
                <w:sz w:val="24"/>
              </w:rPr>
              <w:t>In </w:t>
            </w:r>
            <w:r>
              <w:rPr>
                <w:sz w:val="24"/>
              </w:rPr>
              <w:t>such cases, no payment for any extended warranty will be required until the final year of the initial warranty, after which the procurer will make annual payments to the successful tenderer at the beginning of each year of the extended</w:t>
            </w:r>
            <w:r>
              <w:rPr>
                <w:spacing w:val="-21"/>
                <w:sz w:val="24"/>
              </w:rPr>
              <w:t> </w:t>
            </w:r>
            <w:r>
              <w:rPr>
                <w:sz w:val="24"/>
              </w:rPr>
              <w:t>warranty.</w:t>
            </w:r>
          </w:p>
          <w:p>
            <w:pPr>
              <w:pStyle w:val="TableParagraph"/>
              <w:spacing w:before="39"/>
              <w:ind w:right="96"/>
              <w:jc w:val="both"/>
              <w:rPr>
                <w:sz w:val="24"/>
              </w:rPr>
            </w:pPr>
            <w:r>
              <w:rPr>
                <w:sz w:val="24"/>
              </w:rPr>
              <w:t>Furthermore, the procurer will have the option to initiate or reject the offer of an extended warranty right up until the final year of the initial warranty; the costs of the extended warranty will be those initially proposed, plus inflation.</w:t>
            </w:r>
          </w:p>
        </w:tc>
      </w:tr>
    </w:tbl>
    <w:p>
      <w:pPr>
        <w:spacing w:after="0"/>
        <w:jc w:val="both"/>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54" w:hRule="atLeast"/>
        </w:trPr>
        <w:tc>
          <w:tcPr>
            <w:tcW w:w="14506" w:type="dxa"/>
            <w:shd w:val="clear" w:color="auto" w:fill="92D050"/>
          </w:tcPr>
          <w:p>
            <w:pPr>
              <w:pStyle w:val="TableParagraph"/>
              <w:spacing w:before="37"/>
              <w:rPr>
                <w:b/>
                <w:sz w:val="24"/>
              </w:rPr>
            </w:pPr>
            <w:r>
              <w:rPr>
                <w:b/>
                <w:sz w:val="24"/>
              </w:rPr>
              <w:t>CONTRACT PERFORMANCE CLAUSES</w:t>
            </w:r>
          </w:p>
        </w:tc>
      </w:tr>
      <w:tr>
        <w:trPr>
          <w:trHeight w:val="3201" w:hRule="atLeast"/>
        </w:trPr>
        <w:tc>
          <w:tcPr>
            <w:tcW w:w="14506" w:type="dxa"/>
          </w:tcPr>
          <w:p>
            <w:pPr>
              <w:pStyle w:val="TableParagraph"/>
              <w:spacing w:before="39"/>
              <w:rPr>
                <w:b/>
                <w:sz w:val="24"/>
              </w:rPr>
            </w:pPr>
            <w:r>
              <w:rPr>
                <w:b/>
                <w:sz w:val="24"/>
              </w:rPr>
              <w:t>CPC7. Commitment to waste recovery and transport to suitable sites</w:t>
            </w:r>
          </w:p>
          <w:p>
            <w:pPr>
              <w:pStyle w:val="TableParagraph"/>
              <w:spacing w:before="39"/>
              <w:rPr>
                <w:b/>
                <w:i/>
                <w:sz w:val="24"/>
              </w:rPr>
            </w:pPr>
            <w:r>
              <w:rPr>
                <w:b/>
                <w:i/>
                <w:sz w:val="24"/>
              </w:rPr>
              <w:t>(Applies to TS11.)</w:t>
            </w:r>
          </w:p>
          <w:p>
            <w:pPr>
              <w:pStyle w:val="TableParagraph"/>
              <w:spacing w:before="36"/>
              <w:rPr>
                <w:i/>
                <w:sz w:val="24"/>
              </w:rPr>
            </w:pPr>
            <w:r>
              <w:rPr>
                <w:i/>
                <w:sz w:val="24"/>
              </w:rPr>
              <w:t>(Same for core and comprehensive criteria.)</w:t>
            </w:r>
          </w:p>
          <w:p>
            <w:pPr>
              <w:pStyle w:val="TableParagraph"/>
              <w:spacing w:before="9"/>
              <w:ind w:left="0"/>
              <w:rPr>
                <w:sz w:val="37"/>
              </w:rPr>
            </w:pPr>
          </w:p>
          <w:p>
            <w:pPr>
              <w:pStyle w:val="TableParagraph"/>
              <w:ind w:right="93"/>
              <w:jc w:val="both"/>
              <w:rPr>
                <w:sz w:val="24"/>
              </w:rPr>
            </w:pPr>
            <w:r>
              <w:rPr>
                <w:sz w:val="24"/>
              </w:rPr>
              <w:t>The contractor shall provide a schedule of the waste collected during the project. In addition, the contractor shall provide details of any sorting that has been applied prior to transport to suitable sites identified in the original tender or to other suitable sites where waste can be sorted, processed, recycled and, if relevant, subject to heat recovery.</w:t>
            </w:r>
          </w:p>
          <w:p>
            <w:pPr>
              <w:pStyle w:val="TableParagraph"/>
              <w:spacing w:before="41"/>
              <w:rPr>
                <w:sz w:val="24"/>
              </w:rPr>
            </w:pPr>
            <w:r>
              <w:rPr>
                <w:sz w:val="24"/>
              </w:rPr>
              <w:t>Delivery invoices shall be submitted as proof of delivery.</w:t>
            </w:r>
          </w:p>
        </w:tc>
      </w:tr>
      <w:tr>
        <w:trPr>
          <w:trHeight w:val="1701" w:hRule="atLeast"/>
        </w:trPr>
        <w:tc>
          <w:tcPr>
            <w:tcW w:w="14506" w:type="dxa"/>
          </w:tcPr>
          <w:p>
            <w:pPr>
              <w:pStyle w:val="TableParagraph"/>
              <w:spacing w:before="37"/>
              <w:rPr>
                <w:b/>
                <w:sz w:val="24"/>
              </w:rPr>
            </w:pPr>
            <w:r>
              <w:rPr>
                <w:b/>
                <w:sz w:val="24"/>
              </w:rPr>
              <w:t>CPC8. Labelling of LED luminaires</w:t>
            </w:r>
          </w:p>
          <w:p>
            <w:pPr>
              <w:pStyle w:val="TableParagraph"/>
              <w:spacing w:before="38"/>
              <w:rPr>
                <w:b/>
                <w:i/>
                <w:sz w:val="24"/>
              </w:rPr>
            </w:pPr>
            <w:r>
              <w:rPr>
                <w:b/>
                <w:i/>
                <w:sz w:val="24"/>
              </w:rPr>
              <w:t>(Applies to TS16.)</w:t>
            </w:r>
          </w:p>
          <w:p>
            <w:pPr>
              <w:pStyle w:val="TableParagraph"/>
              <w:spacing w:before="36"/>
              <w:rPr>
                <w:i/>
                <w:sz w:val="24"/>
              </w:rPr>
            </w:pPr>
            <w:r>
              <w:rPr>
                <w:i/>
                <w:sz w:val="24"/>
              </w:rPr>
              <w:t>(Same for core and comprehensive criteria.)</w:t>
            </w:r>
          </w:p>
          <w:p>
            <w:pPr>
              <w:pStyle w:val="TableParagraph"/>
              <w:ind w:left="0"/>
              <w:rPr>
                <w:sz w:val="38"/>
              </w:rPr>
            </w:pPr>
          </w:p>
          <w:p>
            <w:pPr>
              <w:pStyle w:val="TableParagraph"/>
              <w:rPr>
                <w:sz w:val="24"/>
              </w:rPr>
            </w:pPr>
            <w:r>
              <w:rPr>
                <w:sz w:val="24"/>
              </w:rPr>
              <w:t>The contractor shall commit to providing labels for the luminaires they supply that contain at least the minimum information specified in TS16.</w:t>
            </w:r>
          </w:p>
        </w:tc>
      </w:tr>
    </w:tbl>
    <w:p>
      <w:pPr>
        <w:spacing w:after="0"/>
        <w:rPr>
          <w:sz w:val="24"/>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3"/>
        </w:numPr>
        <w:tabs>
          <w:tab w:pos="699" w:val="left" w:leader="none"/>
          <w:tab w:pos="700" w:val="left" w:leader="none"/>
        </w:tabs>
        <w:spacing w:line="240" w:lineRule="auto" w:before="246" w:after="0"/>
        <w:ind w:left="699" w:right="0" w:hanging="567"/>
        <w:jc w:val="left"/>
      </w:pPr>
      <w:bookmarkStart w:name="_TOC_250003" w:id="6"/>
      <w:r>
        <w:rPr/>
        <w:t>EU</w:t>
      </w:r>
      <w:r>
        <w:rPr>
          <w:spacing w:val="-3"/>
        </w:rPr>
        <w:t> </w:t>
      </w:r>
      <w:r>
        <w:rPr/>
        <w:t>GPP</w:t>
      </w:r>
      <w:r>
        <w:rPr>
          <w:spacing w:val="-16"/>
        </w:rPr>
        <w:t> </w:t>
      </w:r>
      <w:r>
        <w:rPr/>
        <w:t>CRITERIA</w:t>
      </w:r>
      <w:r>
        <w:rPr>
          <w:spacing w:val="-16"/>
        </w:rPr>
        <w:t> </w:t>
      </w:r>
      <w:r>
        <w:rPr/>
        <w:t>FOR</w:t>
      </w:r>
      <w:r>
        <w:rPr>
          <w:spacing w:val="-6"/>
        </w:rPr>
        <w:t> </w:t>
      </w:r>
      <w:r>
        <w:rPr/>
        <w:t>THE</w:t>
      </w:r>
      <w:r>
        <w:rPr>
          <w:spacing w:val="-2"/>
        </w:rPr>
        <w:t> </w:t>
      </w:r>
      <w:r>
        <w:rPr/>
        <w:t>PURCHASE</w:t>
      </w:r>
      <w:r>
        <w:rPr>
          <w:spacing w:val="-1"/>
        </w:rPr>
        <w:t> </w:t>
      </w:r>
      <w:r>
        <w:rPr/>
        <w:t>OF</w:t>
      </w:r>
      <w:r>
        <w:rPr>
          <w:spacing w:val="-16"/>
        </w:rPr>
        <w:t> </w:t>
      </w:r>
      <w:r>
        <w:rPr/>
        <w:t>TRAFFIC</w:t>
      </w:r>
      <w:r>
        <w:rPr>
          <w:spacing w:val="-2"/>
        </w:rPr>
        <w:t> </w:t>
      </w:r>
      <w:bookmarkEnd w:id="6"/>
      <w:r>
        <w:rPr/>
        <w:t>SIGNALS</w:t>
      </w:r>
    </w:p>
    <w:p>
      <w:pPr>
        <w:pStyle w:val="BodyText"/>
        <w:spacing w:before="4"/>
        <w:rPr>
          <w:b/>
          <w:sz w:val="30"/>
        </w:rPr>
      </w:pPr>
    </w:p>
    <w:p>
      <w:pPr>
        <w:pStyle w:val="Heading1"/>
        <w:numPr>
          <w:ilvl w:val="1"/>
          <w:numId w:val="3"/>
        </w:numPr>
        <w:tabs>
          <w:tab w:pos="984" w:val="left" w:leader="none"/>
          <w:tab w:pos="985" w:val="left" w:leader="none"/>
        </w:tabs>
        <w:spacing w:line="240" w:lineRule="auto" w:before="1" w:after="0"/>
        <w:ind w:left="984" w:right="0" w:hanging="852"/>
        <w:jc w:val="left"/>
      </w:pPr>
      <w:bookmarkStart w:name="_TOC_250002" w:id="7"/>
      <w:r>
        <w:rPr/>
        <w:t>Technical specifications (TS) and award criteria</w:t>
      </w:r>
      <w:r>
        <w:rPr>
          <w:spacing w:val="-12"/>
        </w:rPr>
        <w:t> </w:t>
      </w:r>
      <w:bookmarkEnd w:id="7"/>
      <w:r>
        <w:rPr/>
        <w:t>(AC)</w:t>
      </w:r>
    </w:p>
    <w:p>
      <w:pPr>
        <w:pStyle w:val="BodyText"/>
        <w:rPr>
          <w:b/>
          <w:sz w:val="20"/>
        </w:rPr>
      </w:pPr>
    </w:p>
    <w:p>
      <w:pPr>
        <w:pStyle w:val="BodyText"/>
        <w:spacing w:before="6" w:after="1"/>
        <w:rPr>
          <w:b/>
          <w:sz w:val="14"/>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95" w:hRule="atLeast"/>
        </w:trPr>
        <w:tc>
          <w:tcPr>
            <w:tcW w:w="14506" w:type="dxa"/>
            <w:shd w:val="clear" w:color="auto" w:fill="92D050"/>
          </w:tcPr>
          <w:p>
            <w:pPr>
              <w:pStyle w:val="TableParagraph"/>
              <w:spacing w:before="56"/>
              <w:ind w:left="5054" w:right="5037"/>
              <w:jc w:val="center"/>
              <w:rPr>
                <w:b/>
                <w:sz w:val="24"/>
              </w:rPr>
            </w:pPr>
            <w:r>
              <w:rPr>
                <w:b/>
                <w:sz w:val="24"/>
              </w:rPr>
              <w:t>SUBJECT MATTER</w:t>
            </w:r>
          </w:p>
        </w:tc>
      </w:tr>
      <w:tr>
        <w:trPr>
          <w:trHeight w:val="554" w:hRule="atLeast"/>
        </w:trPr>
        <w:tc>
          <w:tcPr>
            <w:tcW w:w="14506" w:type="dxa"/>
          </w:tcPr>
          <w:p>
            <w:pPr>
              <w:pStyle w:val="TableParagraph"/>
              <w:spacing w:line="268" w:lineRule="exact"/>
              <w:rPr>
                <w:sz w:val="24"/>
              </w:rPr>
            </w:pPr>
            <w:r>
              <w:rPr>
                <w:sz w:val="24"/>
              </w:rPr>
              <w:t>The criteria in section 4.1 relate specifically to the purchase of lighting equipment for traffic signalling and the cost of its operation and maintenance</w:t>
            </w:r>
          </w:p>
          <w:p>
            <w:pPr>
              <w:pStyle w:val="TableParagraph"/>
              <w:spacing w:line="266" w:lineRule="exact"/>
              <w:rPr>
                <w:sz w:val="24"/>
              </w:rPr>
            </w:pPr>
            <w:r>
              <w:rPr>
                <w:sz w:val="24"/>
              </w:rPr>
              <w:t>over a defined timeframe.</w:t>
            </w:r>
          </w:p>
        </w:tc>
      </w:tr>
    </w:tbl>
    <w:p>
      <w:pPr>
        <w:pStyle w:val="BodyText"/>
        <w:rPr>
          <w:b/>
          <w:sz w:val="20"/>
        </w:rPr>
      </w:pPr>
    </w:p>
    <w:p>
      <w:pPr>
        <w:pStyle w:val="BodyText"/>
        <w:rPr>
          <w:b/>
          <w:sz w:val="20"/>
        </w:rPr>
      </w:pPr>
    </w:p>
    <w:p>
      <w:pPr>
        <w:pStyle w:val="BodyText"/>
        <w:spacing w:before="10"/>
        <w:rPr>
          <w:b/>
          <w:sz w:val="28"/>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395" w:hRule="atLeast"/>
        </w:trPr>
        <w:tc>
          <w:tcPr>
            <w:tcW w:w="7253" w:type="dxa"/>
            <w:shd w:val="clear" w:color="auto" w:fill="FFC000"/>
          </w:tcPr>
          <w:p>
            <w:pPr>
              <w:pStyle w:val="TableParagraph"/>
              <w:spacing w:before="56"/>
              <w:ind w:left="2946" w:right="2931"/>
              <w:jc w:val="center"/>
              <w:rPr>
                <w:b/>
                <w:sz w:val="24"/>
              </w:rPr>
            </w:pPr>
            <w:r>
              <w:rPr>
                <w:b/>
                <w:sz w:val="24"/>
              </w:rPr>
              <w:t>Core criteria</w:t>
            </w:r>
          </w:p>
        </w:tc>
        <w:tc>
          <w:tcPr>
            <w:tcW w:w="7253" w:type="dxa"/>
            <w:shd w:val="clear" w:color="auto" w:fill="FFC000"/>
          </w:tcPr>
          <w:p>
            <w:pPr>
              <w:pStyle w:val="TableParagraph"/>
              <w:spacing w:before="56"/>
              <w:ind w:left="2418"/>
              <w:rPr>
                <w:b/>
                <w:sz w:val="24"/>
              </w:rPr>
            </w:pPr>
            <w:r>
              <w:rPr>
                <w:b/>
                <w:sz w:val="24"/>
              </w:rPr>
              <w:t>Comprehensive criteria</w:t>
            </w:r>
          </w:p>
        </w:tc>
      </w:tr>
      <w:tr>
        <w:trPr>
          <w:trHeight w:val="395" w:hRule="atLeast"/>
        </w:trPr>
        <w:tc>
          <w:tcPr>
            <w:tcW w:w="14506" w:type="dxa"/>
            <w:gridSpan w:val="2"/>
            <w:shd w:val="clear" w:color="auto" w:fill="92D050"/>
          </w:tcPr>
          <w:p>
            <w:pPr>
              <w:pStyle w:val="TableParagraph"/>
              <w:spacing w:before="56"/>
              <w:ind w:left="5050" w:right="5040"/>
              <w:jc w:val="center"/>
              <w:rPr>
                <w:b/>
                <w:sz w:val="24"/>
              </w:rPr>
            </w:pPr>
            <w:r>
              <w:rPr>
                <w:b/>
                <w:sz w:val="24"/>
              </w:rPr>
              <w:t>TECHNICAL SPECIFICATIONS</w:t>
            </w:r>
          </w:p>
        </w:tc>
      </w:tr>
      <w:tr>
        <w:trPr>
          <w:trHeight w:val="3388" w:hRule="atLeast"/>
        </w:trPr>
        <w:tc>
          <w:tcPr>
            <w:tcW w:w="14506" w:type="dxa"/>
            <w:gridSpan w:val="2"/>
          </w:tcPr>
          <w:p>
            <w:pPr>
              <w:pStyle w:val="TableParagraph"/>
              <w:spacing w:before="37"/>
              <w:rPr>
                <w:b/>
                <w:sz w:val="24"/>
              </w:rPr>
            </w:pPr>
            <w:r>
              <w:rPr>
                <w:b/>
                <w:sz w:val="24"/>
              </w:rPr>
              <w:t>TS1. Life cycle cost (LCC)</w:t>
            </w:r>
          </w:p>
          <w:p>
            <w:pPr>
              <w:pStyle w:val="TableParagraph"/>
              <w:spacing w:before="34"/>
              <w:rPr>
                <w:i/>
                <w:sz w:val="24"/>
              </w:rPr>
            </w:pPr>
            <w:r>
              <w:rPr>
                <w:i/>
                <w:sz w:val="24"/>
              </w:rPr>
              <w:t>(Same for core and comprehensive criteria.)</w:t>
            </w:r>
          </w:p>
          <w:p>
            <w:pPr>
              <w:pStyle w:val="TableParagraph"/>
              <w:ind w:left="0"/>
              <w:rPr>
                <w:b/>
                <w:sz w:val="26"/>
              </w:rPr>
            </w:pPr>
          </w:p>
          <w:p>
            <w:pPr>
              <w:pStyle w:val="TableParagraph"/>
              <w:spacing w:before="217"/>
              <w:rPr>
                <w:sz w:val="24"/>
              </w:rPr>
            </w:pPr>
            <w:r>
              <w:rPr>
                <w:sz w:val="24"/>
              </w:rPr>
              <w:t>The life cycle cost shall be calculated based on the specifications set by the procurer, which should include:</w:t>
            </w:r>
          </w:p>
          <w:p>
            <w:pPr>
              <w:pStyle w:val="TableParagraph"/>
              <w:numPr>
                <w:ilvl w:val="0"/>
                <w:numId w:val="36"/>
              </w:numPr>
              <w:tabs>
                <w:tab w:pos="831" w:val="left" w:leader="none"/>
              </w:tabs>
              <w:spacing w:line="240" w:lineRule="auto" w:before="57" w:after="0"/>
              <w:ind w:left="830" w:right="0" w:hanging="360"/>
              <w:jc w:val="left"/>
              <w:rPr>
                <w:sz w:val="24"/>
              </w:rPr>
            </w:pPr>
            <w:r>
              <w:rPr>
                <w:sz w:val="24"/>
              </w:rPr>
              <w:t>the timeframe (e.g. 8</w:t>
            </w:r>
            <w:r>
              <w:rPr>
                <w:spacing w:val="2"/>
                <w:sz w:val="24"/>
              </w:rPr>
              <w:t> </w:t>
            </w:r>
            <w:r>
              <w:rPr>
                <w:sz w:val="24"/>
              </w:rPr>
              <w:t>years);</w:t>
            </w:r>
          </w:p>
          <w:p>
            <w:pPr>
              <w:pStyle w:val="TableParagraph"/>
              <w:numPr>
                <w:ilvl w:val="0"/>
                <w:numId w:val="36"/>
              </w:numPr>
              <w:tabs>
                <w:tab w:pos="831" w:val="left" w:leader="none"/>
              </w:tabs>
              <w:spacing w:line="220" w:lineRule="auto" w:before="57" w:after="0"/>
              <w:ind w:left="830" w:right="94" w:hanging="360"/>
              <w:jc w:val="left"/>
              <w:rPr>
                <w:sz w:val="24"/>
              </w:rPr>
            </w:pPr>
            <w:r>
              <w:rPr>
                <w:sz w:val="24"/>
              </w:rPr>
              <w:t>an inventory of the traffic signals required (e.g. red ball signals, amber ball signals, green ball signals, green arrow signals, pedestrian stop signals and pedestrian go</w:t>
            </w:r>
            <w:r>
              <w:rPr>
                <w:spacing w:val="1"/>
                <w:sz w:val="24"/>
              </w:rPr>
              <w:t> </w:t>
            </w:r>
            <w:r>
              <w:rPr>
                <w:sz w:val="24"/>
              </w:rPr>
              <w:t>signals);</w:t>
            </w:r>
          </w:p>
          <w:p>
            <w:pPr>
              <w:pStyle w:val="TableParagraph"/>
              <w:numPr>
                <w:ilvl w:val="0"/>
                <w:numId w:val="36"/>
              </w:numPr>
              <w:tabs>
                <w:tab w:pos="831" w:val="left" w:leader="none"/>
              </w:tabs>
              <w:spacing w:line="240" w:lineRule="auto" w:before="62" w:after="0"/>
              <w:ind w:left="830" w:right="0" w:hanging="360"/>
              <w:jc w:val="left"/>
              <w:rPr>
                <w:sz w:val="24"/>
              </w:rPr>
            </w:pPr>
            <w:r>
              <w:rPr>
                <w:sz w:val="24"/>
              </w:rPr>
              <w:t>the average duty cycle of each traffic signal (e.g. red signal 55 %, amber signal 2 %, green signal 43 %);</w:t>
            </w:r>
            <w:r>
              <w:rPr>
                <w:spacing w:val="-22"/>
                <w:sz w:val="24"/>
              </w:rPr>
              <w:t> </w:t>
            </w:r>
            <w:r>
              <w:rPr>
                <w:sz w:val="24"/>
              </w:rPr>
              <w:t>and</w:t>
            </w:r>
          </w:p>
          <w:p>
            <w:pPr>
              <w:pStyle w:val="TableParagraph"/>
              <w:numPr>
                <w:ilvl w:val="0"/>
                <w:numId w:val="36"/>
              </w:numPr>
              <w:tabs>
                <w:tab w:pos="831" w:val="left" w:leader="none"/>
              </w:tabs>
              <w:spacing w:line="240" w:lineRule="auto" w:before="38" w:after="0"/>
              <w:ind w:left="830" w:right="0" w:hanging="360"/>
              <w:jc w:val="left"/>
              <w:rPr>
                <w:sz w:val="24"/>
              </w:rPr>
            </w:pPr>
            <w:r>
              <w:rPr>
                <w:sz w:val="24"/>
              </w:rPr>
              <w:t>the electricity rate (e.g. EUR</w:t>
            </w:r>
            <w:r>
              <w:rPr>
                <w:spacing w:val="-10"/>
                <w:sz w:val="24"/>
              </w:rPr>
              <w:t> </w:t>
            </w:r>
            <w:r>
              <w:rPr>
                <w:sz w:val="24"/>
              </w:rPr>
              <w:t>0.12/kWh).</w:t>
            </w:r>
          </w:p>
          <w:p>
            <w:pPr>
              <w:pStyle w:val="TableParagraph"/>
              <w:spacing w:before="18"/>
              <w:rPr>
                <w:sz w:val="24"/>
              </w:rPr>
            </w:pPr>
            <w:r>
              <w:rPr>
                <w:sz w:val="24"/>
              </w:rPr>
              <w:t>The tenderer shall provide the following details in order to complete the life cycle cost assessment:</w:t>
            </w:r>
          </w:p>
        </w:tc>
      </w:tr>
    </w:tbl>
    <w:p>
      <w:pPr>
        <w:spacing w:after="0"/>
        <w:rPr>
          <w:sz w:val="24"/>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498" w:hRule="atLeast"/>
        </w:trPr>
        <w:tc>
          <w:tcPr>
            <w:tcW w:w="14506" w:type="dxa"/>
          </w:tcPr>
          <w:p>
            <w:pPr>
              <w:pStyle w:val="TableParagraph"/>
              <w:numPr>
                <w:ilvl w:val="0"/>
                <w:numId w:val="37"/>
              </w:numPr>
              <w:tabs>
                <w:tab w:pos="831" w:val="left" w:leader="none"/>
              </w:tabs>
              <w:spacing w:line="240" w:lineRule="auto" w:before="8" w:after="0"/>
              <w:ind w:left="830" w:right="0" w:hanging="360"/>
              <w:jc w:val="left"/>
              <w:rPr>
                <w:sz w:val="24"/>
              </w:rPr>
            </w:pPr>
            <w:r>
              <w:rPr>
                <w:sz w:val="24"/>
              </w:rPr>
              <w:t>the period of time that bulbs are covered by warranty for abrupt</w:t>
            </w:r>
            <w:r>
              <w:rPr>
                <w:spacing w:val="-10"/>
                <w:sz w:val="24"/>
              </w:rPr>
              <w:t> </w:t>
            </w:r>
            <w:r>
              <w:rPr>
                <w:sz w:val="24"/>
              </w:rPr>
              <w:t>failure;</w:t>
            </w:r>
          </w:p>
          <w:p>
            <w:pPr>
              <w:pStyle w:val="TableParagraph"/>
              <w:numPr>
                <w:ilvl w:val="0"/>
                <w:numId w:val="37"/>
              </w:numPr>
              <w:tabs>
                <w:tab w:pos="831" w:val="left" w:leader="none"/>
              </w:tabs>
              <w:spacing w:line="240" w:lineRule="auto" w:before="38" w:after="0"/>
              <w:ind w:left="830" w:right="0" w:hanging="360"/>
              <w:jc w:val="left"/>
              <w:rPr>
                <w:sz w:val="24"/>
              </w:rPr>
            </w:pPr>
            <w:r>
              <w:rPr>
                <w:sz w:val="24"/>
              </w:rPr>
              <w:t>the rated lifetime of the lamp (i.e. the time when lamp lumen output is expected to fall to 70 % of the original</w:t>
            </w:r>
            <w:r>
              <w:rPr>
                <w:spacing w:val="-10"/>
                <w:sz w:val="24"/>
              </w:rPr>
              <w:t> </w:t>
            </w:r>
            <w:r>
              <w:rPr>
                <w:sz w:val="24"/>
              </w:rPr>
              <w:t>output);</w:t>
            </w:r>
          </w:p>
          <w:p>
            <w:pPr>
              <w:pStyle w:val="TableParagraph"/>
              <w:numPr>
                <w:ilvl w:val="0"/>
                <w:numId w:val="37"/>
              </w:numPr>
              <w:tabs>
                <w:tab w:pos="831" w:val="left" w:leader="none"/>
              </w:tabs>
              <w:spacing w:line="240" w:lineRule="auto" w:before="37" w:after="0"/>
              <w:ind w:left="830" w:right="0" w:hanging="360"/>
              <w:jc w:val="left"/>
              <w:rPr>
                <w:sz w:val="24"/>
              </w:rPr>
            </w:pPr>
            <w:r>
              <w:rPr>
                <w:sz w:val="24"/>
              </w:rPr>
              <w:t>the purchase cost for lamps (both at the beginning and for any necessary replacement during the defined</w:t>
            </w:r>
            <w:r>
              <w:rPr>
                <w:spacing w:val="-37"/>
                <w:sz w:val="24"/>
              </w:rPr>
              <w:t> </w:t>
            </w:r>
            <w:r>
              <w:rPr>
                <w:sz w:val="24"/>
              </w:rPr>
              <w:t>timeframe);</w:t>
            </w:r>
          </w:p>
          <w:p>
            <w:pPr>
              <w:pStyle w:val="TableParagraph"/>
              <w:numPr>
                <w:ilvl w:val="0"/>
                <w:numId w:val="37"/>
              </w:numPr>
              <w:tabs>
                <w:tab w:pos="831" w:val="left" w:leader="none"/>
              </w:tabs>
              <w:spacing w:line="240" w:lineRule="auto" w:before="38" w:after="0"/>
              <w:ind w:left="830" w:right="0" w:hanging="360"/>
              <w:jc w:val="left"/>
              <w:rPr>
                <w:sz w:val="24"/>
              </w:rPr>
            </w:pPr>
            <w:r>
              <w:rPr>
                <w:sz w:val="24"/>
              </w:rPr>
              <w:t>the purchase cost for any</w:t>
            </w:r>
            <w:r>
              <w:rPr>
                <w:spacing w:val="-5"/>
                <w:sz w:val="24"/>
              </w:rPr>
              <w:t> </w:t>
            </w:r>
            <w:r>
              <w:rPr>
                <w:sz w:val="24"/>
              </w:rPr>
              <w:t>ancillaries;</w:t>
            </w:r>
          </w:p>
          <w:p>
            <w:pPr>
              <w:pStyle w:val="TableParagraph"/>
              <w:numPr>
                <w:ilvl w:val="0"/>
                <w:numId w:val="37"/>
              </w:numPr>
              <w:tabs>
                <w:tab w:pos="831" w:val="left" w:leader="none"/>
              </w:tabs>
              <w:spacing w:line="240" w:lineRule="auto" w:before="37" w:after="0"/>
              <w:ind w:left="830" w:right="0" w:hanging="360"/>
              <w:jc w:val="left"/>
              <w:rPr>
                <w:sz w:val="24"/>
              </w:rPr>
            </w:pPr>
            <w:r>
              <w:rPr>
                <w:sz w:val="24"/>
              </w:rPr>
              <w:t>the purchase cost for any poles, foundations and new electrical connections;</w:t>
            </w:r>
            <w:r>
              <w:rPr>
                <w:spacing w:val="-11"/>
                <w:sz w:val="24"/>
              </w:rPr>
              <w:t> </w:t>
            </w:r>
            <w:r>
              <w:rPr>
                <w:sz w:val="24"/>
              </w:rPr>
              <w:t>and</w:t>
            </w:r>
          </w:p>
          <w:p>
            <w:pPr>
              <w:pStyle w:val="TableParagraph"/>
              <w:numPr>
                <w:ilvl w:val="0"/>
                <w:numId w:val="37"/>
              </w:numPr>
              <w:tabs>
                <w:tab w:pos="831" w:val="left" w:leader="none"/>
              </w:tabs>
              <w:spacing w:line="240" w:lineRule="auto" w:before="35" w:after="0"/>
              <w:ind w:left="830" w:right="0" w:hanging="360"/>
              <w:jc w:val="left"/>
              <w:rPr>
                <w:sz w:val="24"/>
              </w:rPr>
            </w:pPr>
            <w:r>
              <w:rPr>
                <w:sz w:val="24"/>
              </w:rPr>
              <w:t>the installation cost (hours of labour multiplied by labour rates, plus any costs for lifting equipment,</w:t>
            </w:r>
            <w:r>
              <w:rPr>
                <w:spacing w:val="-25"/>
                <w:sz w:val="24"/>
              </w:rPr>
              <w:t> </w:t>
            </w:r>
            <w:r>
              <w:rPr>
                <w:sz w:val="24"/>
              </w:rPr>
              <w:t>etc.).</w:t>
            </w:r>
          </w:p>
          <w:p>
            <w:pPr>
              <w:pStyle w:val="TableParagraph"/>
              <w:spacing w:before="26"/>
              <w:rPr>
                <w:b/>
                <w:i/>
                <w:sz w:val="24"/>
              </w:rPr>
            </w:pPr>
            <w:r>
              <w:rPr>
                <w:b/>
                <w:i/>
                <w:sz w:val="24"/>
              </w:rPr>
              <w:t>Verification:</w:t>
            </w:r>
          </w:p>
          <w:p>
            <w:pPr>
              <w:pStyle w:val="TableParagraph"/>
              <w:spacing w:before="36"/>
              <w:ind w:right="83"/>
              <w:rPr>
                <w:sz w:val="24"/>
              </w:rPr>
            </w:pPr>
            <w:r>
              <w:rPr>
                <w:sz w:val="24"/>
              </w:rPr>
              <w:t>The procurer shall provide the tenderers with a common spreadsheet-based life cycle cost calculator in which the information required from the procurer has already been entered.</w:t>
            </w:r>
          </w:p>
          <w:p>
            <w:pPr>
              <w:pStyle w:val="TableParagraph"/>
              <w:spacing w:before="38"/>
              <w:ind w:right="83"/>
              <w:rPr>
                <w:sz w:val="24"/>
              </w:rPr>
            </w:pPr>
            <w:r>
              <w:rPr>
                <w:sz w:val="24"/>
              </w:rPr>
              <w:t>The tenderer shall submit a copy of the completed spreadsheet, together with a declaration confirming that these costs are valid at least for a defined period covering the original timescale planned for the execution of the contract after selection of the successful tenderer.</w:t>
            </w:r>
          </w:p>
        </w:tc>
      </w:tr>
    </w:tbl>
    <w:p>
      <w:pPr>
        <w:spacing w:after="0"/>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7485" w:hRule="atLeast"/>
        </w:trPr>
        <w:tc>
          <w:tcPr>
            <w:tcW w:w="7253" w:type="dxa"/>
          </w:tcPr>
          <w:p>
            <w:pPr>
              <w:pStyle w:val="TableParagraph"/>
              <w:spacing w:before="92"/>
              <w:rPr>
                <w:b/>
                <w:sz w:val="24"/>
              </w:rPr>
            </w:pPr>
            <w:r>
              <w:rPr>
                <w:b/>
                <w:sz w:val="24"/>
              </w:rPr>
              <w:t>TS2. Product lifetime, spare parts and warranty</w:t>
            </w:r>
          </w:p>
          <w:p>
            <w:pPr>
              <w:pStyle w:val="TableParagraph"/>
              <w:spacing w:before="96"/>
              <w:ind w:right="91"/>
              <w:jc w:val="both"/>
              <w:rPr>
                <w:b/>
                <w:i/>
                <w:sz w:val="24"/>
              </w:rPr>
            </w:pPr>
            <w:r>
              <w:rPr>
                <w:b/>
                <w:i/>
                <w:sz w:val="24"/>
              </w:rPr>
              <w:t>(The thresholds defined here are applicable to LED-based light </w:t>
            </w:r>
            <w:r>
              <w:rPr>
                <w:b/>
                <w:i/>
                <w:sz w:val="24"/>
              </w:rPr>
              <w:t>sources, lamps and luminaires.)</w:t>
            </w:r>
          </w:p>
          <w:p>
            <w:pPr>
              <w:pStyle w:val="TableParagraph"/>
              <w:ind w:left="0"/>
              <w:rPr>
                <w:sz w:val="26"/>
              </w:rPr>
            </w:pPr>
          </w:p>
          <w:p>
            <w:pPr>
              <w:pStyle w:val="TableParagraph"/>
              <w:spacing w:before="165"/>
              <w:jc w:val="both"/>
              <w:rPr>
                <w:sz w:val="24"/>
              </w:rPr>
            </w:pPr>
            <w:r>
              <w:rPr>
                <w:sz w:val="24"/>
              </w:rPr>
              <w:t>Any LED-based light sources shall have a rated life at 25°C of:</w:t>
            </w:r>
          </w:p>
          <w:p>
            <w:pPr>
              <w:pStyle w:val="TableParagraph"/>
              <w:numPr>
                <w:ilvl w:val="0"/>
                <w:numId w:val="38"/>
              </w:numPr>
              <w:tabs>
                <w:tab w:pos="831" w:val="left" w:leader="none"/>
              </w:tabs>
              <w:spacing w:line="240" w:lineRule="auto" w:before="115" w:after="0"/>
              <w:ind w:left="830" w:right="0" w:hanging="360"/>
              <w:jc w:val="left"/>
              <w:rPr>
                <w:sz w:val="24"/>
              </w:rPr>
            </w:pPr>
            <w:r>
              <w:rPr>
                <w:sz w:val="24"/>
              </w:rPr>
              <w:t>L96 at 6 000</w:t>
            </w:r>
            <w:r>
              <w:rPr>
                <w:spacing w:val="-4"/>
                <w:sz w:val="24"/>
              </w:rPr>
              <w:t> </w:t>
            </w:r>
            <w:r>
              <w:rPr>
                <w:sz w:val="24"/>
              </w:rPr>
              <w:t>hours,</w:t>
            </w:r>
          </w:p>
          <w:p>
            <w:pPr>
              <w:pStyle w:val="TableParagraph"/>
              <w:numPr>
                <w:ilvl w:val="0"/>
                <w:numId w:val="38"/>
              </w:numPr>
              <w:tabs>
                <w:tab w:pos="831" w:val="left" w:leader="none"/>
              </w:tabs>
              <w:spacing w:line="240" w:lineRule="auto" w:before="92" w:after="0"/>
              <w:ind w:left="830" w:right="0" w:hanging="360"/>
              <w:jc w:val="left"/>
              <w:rPr>
                <w:sz w:val="24"/>
              </w:rPr>
            </w:pPr>
            <w:r>
              <w:rPr>
                <w:sz w:val="24"/>
              </w:rPr>
              <w:t>L70 at 50 000 hours</w:t>
            </w:r>
            <w:r>
              <w:rPr>
                <w:spacing w:val="-7"/>
                <w:sz w:val="24"/>
              </w:rPr>
              <w:t> </w:t>
            </w:r>
            <w:r>
              <w:rPr>
                <w:sz w:val="24"/>
              </w:rPr>
              <w:t>(projected),</w:t>
            </w:r>
          </w:p>
          <w:p>
            <w:pPr>
              <w:pStyle w:val="TableParagraph"/>
              <w:numPr>
                <w:ilvl w:val="0"/>
                <w:numId w:val="38"/>
              </w:numPr>
              <w:tabs>
                <w:tab w:pos="831" w:val="left" w:leader="none"/>
              </w:tabs>
              <w:spacing w:line="240" w:lineRule="auto" w:before="93" w:after="0"/>
              <w:ind w:left="830" w:right="0" w:hanging="360"/>
              <w:jc w:val="left"/>
              <w:rPr>
                <w:sz w:val="24"/>
              </w:rPr>
            </w:pPr>
            <w:r>
              <w:rPr>
                <w:sz w:val="24"/>
              </w:rPr>
              <w:t>L0C0 at 3 000 hours or C10 at 6 000</w:t>
            </w:r>
            <w:r>
              <w:rPr>
                <w:spacing w:val="-2"/>
                <w:sz w:val="24"/>
              </w:rPr>
              <w:t> </w:t>
            </w:r>
            <w:r>
              <w:rPr>
                <w:sz w:val="24"/>
              </w:rPr>
              <w:t>hours,</w:t>
            </w:r>
          </w:p>
          <w:p>
            <w:pPr>
              <w:pStyle w:val="TableParagraph"/>
              <w:numPr>
                <w:ilvl w:val="0"/>
                <w:numId w:val="38"/>
              </w:numPr>
              <w:tabs>
                <w:tab w:pos="831" w:val="left" w:leader="none"/>
              </w:tabs>
              <w:spacing w:line="240" w:lineRule="auto" w:before="95" w:after="0"/>
              <w:ind w:left="830" w:right="0" w:hanging="360"/>
              <w:jc w:val="left"/>
              <w:rPr>
                <w:sz w:val="24"/>
              </w:rPr>
            </w:pPr>
            <w:r>
              <w:rPr>
                <w:sz w:val="24"/>
              </w:rPr>
              <w:t>C50 at 50 000 hours</w:t>
            </w:r>
            <w:r>
              <w:rPr>
                <w:spacing w:val="-7"/>
                <w:sz w:val="24"/>
              </w:rPr>
              <w:t> </w:t>
            </w:r>
            <w:r>
              <w:rPr>
                <w:sz w:val="24"/>
              </w:rPr>
              <w:t>(projected).</w:t>
            </w:r>
          </w:p>
          <w:p>
            <w:pPr>
              <w:pStyle w:val="TableParagraph"/>
              <w:spacing w:before="74"/>
              <w:ind w:right="93"/>
              <w:jc w:val="both"/>
              <w:rPr>
                <w:sz w:val="24"/>
              </w:rPr>
            </w:pPr>
            <w:r>
              <w:rPr>
                <w:sz w:val="24"/>
              </w:rPr>
              <w:t>The repair or provision of relevant replacement parts of LED modules suffering abrupt failure shall be covered by a warranty for a period of 5 years from the date of installation.</w:t>
            </w:r>
          </w:p>
          <w:p>
            <w:pPr>
              <w:pStyle w:val="TableParagraph"/>
              <w:ind w:left="0"/>
              <w:rPr>
                <w:sz w:val="26"/>
              </w:rPr>
            </w:pPr>
          </w:p>
          <w:p>
            <w:pPr>
              <w:pStyle w:val="TableParagraph"/>
              <w:spacing w:before="174"/>
              <w:rPr>
                <w:b/>
                <w:sz w:val="24"/>
              </w:rPr>
            </w:pPr>
            <w:r>
              <w:rPr>
                <w:b/>
                <w:sz w:val="24"/>
              </w:rPr>
              <w:t>Verification:</w:t>
            </w:r>
          </w:p>
          <w:p>
            <w:pPr>
              <w:pStyle w:val="TableParagraph"/>
              <w:spacing w:before="91"/>
              <w:ind w:right="92"/>
              <w:jc w:val="both"/>
              <w:rPr>
                <w:sz w:val="24"/>
              </w:rPr>
            </w:pPr>
            <w:r>
              <w:rPr>
                <w:sz w:val="24"/>
              </w:rPr>
              <w:t>Testing and verification shall be conducted by an International Laboratory Accreditation Cooperation-accredited laboratory that meets IES LM-80* for actual data and IES TM-21* for projected data.</w:t>
            </w:r>
          </w:p>
          <w:p>
            <w:pPr>
              <w:pStyle w:val="TableParagraph"/>
              <w:spacing w:before="96"/>
              <w:ind w:right="93"/>
              <w:jc w:val="both"/>
              <w:rPr>
                <w:sz w:val="24"/>
              </w:rPr>
            </w:pPr>
            <w:r>
              <w:rPr>
                <w:sz w:val="24"/>
              </w:rPr>
              <w:t>The tenderer shall provide a copy of the minimum 5-year warranty to be signed if the tender is successful.</w:t>
            </w:r>
          </w:p>
          <w:p>
            <w:pPr>
              <w:pStyle w:val="TableParagraph"/>
              <w:spacing w:line="270" w:lineRule="atLeast" w:before="96"/>
              <w:ind w:right="93"/>
              <w:jc w:val="both"/>
              <w:rPr>
                <w:sz w:val="24"/>
              </w:rPr>
            </w:pPr>
            <w:r>
              <w:rPr>
                <w:sz w:val="24"/>
              </w:rPr>
              <w:t>The contractor shall provide a copy of the warranty that will apply if the tender is successful and provide the necessary contact details (phone and email as a minimum) for dealing with any related queries or potential</w:t>
            </w:r>
          </w:p>
        </w:tc>
        <w:tc>
          <w:tcPr>
            <w:tcW w:w="7253" w:type="dxa"/>
          </w:tcPr>
          <w:p>
            <w:pPr>
              <w:pStyle w:val="TableParagraph"/>
              <w:spacing w:before="92"/>
              <w:ind w:left="109"/>
              <w:rPr>
                <w:b/>
                <w:sz w:val="24"/>
              </w:rPr>
            </w:pPr>
            <w:r>
              <w:rPr>
                <w:b/>
                <w:sz w:val="24"/>
              </w:rPr>
              <w:t>TS2. Product lifetime, spare parts and warranty</w:t>
            </w:r>
          </w:p>
          <w:p>
            <w:pPr>
              <w:pStyle w:val="TableParagraph"/>
              <w:spacing w:before="96"/>
              <w:ind w:left="109" w:right="95"/>
              <w:jc w:val="both"/>
              <w:rPr>
                <w:b/>
                <w:i/>
                <w:sz w:val="24"/>
              </w:rPr>
            </w:pPr>
            <w:r>
              <w:rPr>
                <w:b/>
                <w:i/>
                <w:sz w:val="24"/>
              </w:rPr>
              <w:t>(The thresholds defined here are applicable to LED-based light </w:t>
            </w:r>
            <w:r>
              <w:rPr>
                <w:b/>
                <w:i/>
                <w:sz w:val="24"/>
              </w:rPr>
              <w:t>sources, lamps and luminaires.)</w:t>
            </w:r>
          </w:p>
          <w:p>
            <w:pPr>
              <w:pStyle w:val="TableParagraph"/>
              <w:ind w:left="0"/>
              <w:rPr>
                <w:sz w:val="26"/>
              </w:rPr>
            </w:pPr>
          </w:p>
          <w:p>
            <w:pPr>
              <w:pStyle w:val="TableParagraph"/>
              <w:spacing w:before="165"/>
              <w:ind w:left="109"/>
              <w:jc w:val="both"/>
              <w:rPr>
                <w:sz w:val="24"/>
              </w:rPr>
            </w:pPr>
            <w:r>
              <w:rPr>
                <w:sz w:val="24"/>
              </w:rPr>
              <w:t>Any LED-based light sources shall have a rated life at 25°C of:</w:t>
            </w:r>
          </w:p>
          <w:p>
            <w:pPr>
              <w:pStyle w:val="TableParagraph"/>
              <w:numPr>
                <w:ilvl w:val="0"/>
                <w:numId w:val="39"/>
              </w:numPr>
              <w:tabs>
                <w:tab w:pos="830" w:val="left" w:leader="none"/>
              </w:tabs>
              <w:spacing w:line="240" w:lineRule="auto" w:before="115" w:after="0"/>
              <w:ind w:left="830" w:right="0" w:hanging="360"/>
              <w:jc w:val="left"/>
              <w:rPr>
                <w:sz w:val="24"/>
              </w:rPr>
            </w:pPr>
            <w:r>
              <w:rPr>
                <w:sz w:val="24"/>
              </w:rPr>
              <w:t>L96 at 6 000</w:t>
            </w:r>
            <w:r>
              <w:rPr>
                <w:spacing w:val="-4"/>
                <w:sz w:val="24"/>
              </w:rPr>
              <w:t> </w:t>
            </w:r>
            <w:r>
              <w:rPr>
                <w:sz w:val="24"/>
              </w:rPr>
              <w:t>hours,</w:t>
            </w:r>
          </w:p>
          <w:p>
            <w:pPr>
              <w:pStyle w:val="TableParagraph"/>
              <w:numPr>
                <w:ilvl w:val="0"/>
                <w:numId w:val="39"/>
              </w:numPr>
              <w:tabs>
                <w:tab w:pos="830" w:val="left" w:leader="none"/>
              </w:tabs>
              <w:spacing w:line="240" w:lineRule="auto" w:before="92" w:after="0"/>
              <w:ind w:left="830" w:right="0" w:hanging="360"/>
              <w:jc w:val="left"/>
              <w:rPr>
                <w:sz w:val="24"/>
              </w:rPr>
            </w:pPr>
            <w:r>
              <w:rPr>
                <w:sz w:val="24"/>
              </w:rPr>
              <w:t>L70 at 100 000 hours</w:t>
            </w:r>
            <w:r>
              <w:rPr>
                <w:spacing w:val="-7"/>
                <w:sz w:val="24"/>
              </w:rPr>
              <w:t> </w:t>
            </w:r>
            <w:r>
              <w:rPr>
                <w:sz w:val="24"/>
              </w:rPr>
              <w:t>(projected),</w:t>
            </w:r>
          </w:p>
          <w:p>
            <w:pPr>
              <w:pStyle w:val="TableParagraph"/>
              <w:numPr>
                <w:ilvl w:val="0"/>
                <w:numId w:val="39"/>
              </w:numPr>
              <w:tabs>
                <w:tab w:pos="830" w:val="left" w:leader="none"/>
              </w:tabs>
              <w:spacing w:line="240" w:lineRule="auto" w:before="93" w:after="0"/>
              <w:ind w:left="830" w:right="0" w:hanging="360"/>
              <w:jc w:val="left"/>
              <w:rPr>
                <w:sz w:val="24"/>
              </w:rPr>
            </w:pPr>
            <w:r>
              <w:rPr>
                <w:sz w:val="24"/>
              </w:rPr>
              <w:t>L0C0 at 3 000 hours or C10 at 6 000</w:t>
            </w:r>
            <w:r>
              <w:rPr>
                <w:spacing w:val="-2"/>
                <w:sz w:val="24"/>
              </w:rPr>
              <w:t> </w:t>
            </w:r>
            <w:r>
              <w:rPr>
                <w:sz w:val="24"/>
              </w:rPr>
              <w:t>hours,</w:t>
            </w:r>
          </w:p>
          <w:p>
            <w:pPr>
              <w:pStyle w:val="TableParagraph"/>
              <w:numPr>
                <w:ilvl w:val="0"/>
                <w:numId w:val="39"/>
              </w:numPr>
              <w:tabs>
                <w:tab w:pos="830" w:val="left" w:leader="none"/>
              </w:tabs>
              <w:spacing w:line="240" w:lineRule="auto" w:before="95" w:after="0"/>
              <w:ind w:left="830" w:right="0" w:hanging="360"/>
              <w:jc w:val="left"/>
              <w:rPr>
                <w:sz w:val="24"/>
              </w:rPr>
            </w:pPr>
            <w:r>
              <w:rPr>
                <w:sz w:val="24"/>
              </w:rPr>
              <w:t>C50 at 100 000 hours</w:t>
            </w:r>
            <w:r>
              <w:rPr>
                <w:spacing w:val="-7"/>
                <w:sz w:val="24"/>
              </w:rPr>
              <w:t> </w:t>
            </w:r>
            <w:r>
              <w:rPr>
                <w:sz w:val="24"/>
              </w:rPr>
              <w:t>(projected).</w:t>
            </w:r>
          </w:p>
          <w:p>
            <w:pPr>
              <w:pStyle w:val="TableParagraph"/>
              <w:spacing w:before="74"/>
              <w:ind w:left="109" w:right="93"/>
              <w:jc w:val="both"/>
              <w:rPr>
                <w:sz w:val="24"/>
              </w:rPr>
            </w:pPr>
            <w:r>
              <w:rPr>
                <w:sz w:val="24"/>
              </w:rPr>
              <w:t>The repair or provision of relevant replacement parts of LED modules suffering abrupt failure shall be covered by a warranty for a period of 7 years from the date of installation.</w:t>
            </w:r>
          </w:p>
          <w:p>
            <w:pPr>
              <w:pStyle w:val="TableParagraph"/>
              <w:ind w:left="0"/>
              <w:rPr>
                <w:sz w:val="26"/>
              </w:rPr>
            </w:pPr>
          </w:p>
          <w:p>
            <w:pPr>
              <w:pStyle w:val="TableParagraph"/>
              <w:spacing w:before="174"/>
              <w:ind w:left="109"/>
              <w:rPr>
                <w:b/>
                <w:sz w:val="24"/>
              </w:rPr>
            </w:pPr>
            <w:r>
              <w:rPr>
                <w:b/>
                <w:sz w:val="24"/>
              </w:rPr>
              <w:t>Verification:</w:t>
            </w:r>
          </w:p>
          <w:p>
            <w:pPr>
              <w:pStyle w:val="TableParagraph"/>
              <w:spacing w:before="91"/>
              <w:ind w:left="109" w:right="93"/>
              <w:jc w:val="both"/>
              <w:rPr>
                <w:sz w:val="24"/>
              </w:rPr>
            </w:pPr>
            <w:r>
              <w:rPr>
                <w:sz w:val="24"/>
              </w:rPr>
              <w:t>Testing and verification shall be conducted by an International Laboratory Accreditation Cooperation-accredited laboratory that meets IES LM-80* for actual data and IES TM-21* for projected data.</w:t>
            </w:r>
          </w:p>
          <w:p>
            <w:pPr>
              <w:pStyle w:val="TableParagraph"/>
              <w:spacing w:before="96"/>
              <w:ind w:left="109" w:right="94"/>
              <w:jc w:val="both"/>
              <w:rPr>
                <w:sz w:val="24"/>
              </w:rPr>
            </w:pPr>
            <w:r>
              <w:rPr>
                <w:sz w:val="24"/>
              </w:rPr>
              <w:t>The tenderer shall provide a copy of the minimum 7-year to be signed if the tender is successful.</w:t>
            </w:r>
          </w:p>
          <w:p>
            <w:pPr>
              <w:pStyle w:val="TableParagraph"/>
              <w:spacing w:line="270" w:lineRule="atLeast" w:before="96"/>
              <w:ind w:left="109" w:right="93"/>
              <w:jc w:val="both"/>
              <w:rPr>
                <w:sz w:val="24"/>
              </w:rPr>
            </w:pPr>
            <w:r>
              <w:rPr>
                <w:sz w:val="24"/>
              </w:rPr>
              <w:t>The contractor shall provide a copy of the warranty that will apply if the tender is successful and provide the necessary contact details (phone and email as a minimum) for dealing with any related queries or potential</w:t>
            </w:r>
          </w:p>
        </w:tc>
      </w:tr>
    </w:tbl>
    <w:p>
      <w:pPr>
        <w:spacing w:after="0" w:line="270" w:lineRule="atLeast"/>
        <w:jc w:val="both"/>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320" w:hRule="atLeast"/>
        </w:trPr>
        <w:tc>
          <w:tcPr>
            <w:tcW w:w="7253" w:type="dxa"/>
            <w:tcBorders>
              <w:bottom w:val="nil"/>
            </w:tcBorders>
          </w:tcPr>
          <w:p>
            <w:pPr>
              <w:pStyle w:val="TableParagraph"/>
              <w:spacing w:line="268" w:lineRule="exact"/>
              <w:rPr>
                <w:sz w:val="24"/>
              </w:rPr>
            </w:pPr>
            <w:r>
              <w:rPr>
                <w:sz w:val="24"/>
              </w:rPr>
              <w:t>claims.</w:t>
            </w:r>
          </w:p>
        </w:tc>
        <w:tc>
          <w:tcPr>
            <w:tcW w:w="7253" w:type="dxa"/>
            <w:tcBorders>
              <w:bottom w:val="nil"/>
            </w:tcBorders>
          </w:tcPr>
          <w:p>
            <w:pPr>
              <w:pStyle w:val="TableParagraph"/>
              <w:spacing w:line="268" w:lineRule="exact"/>
              <w:ind w:left="109"/>
              <w:rPr>
                <w:sz w:val="24"/>
              </w:rPr>
            </w:pPr>
            <w:r>
              <w:rPr>
                <w:sz w:val="24"/>
              </w:rPr>
              <w:t>claims.</w:t>
            </w:r>
          </w:p>
        </w:tc>
      </w:tr>
      <w:tr>
        <w:trPr>
          <w:trHeight w:val="2028" w:hRule="atLeast"/>
        </w:trPr>
        <w:tc>
          <w:tcPr>
            <w:tcW w:w="7253" w:type="dxa"/>
            <w:tcBorders>
              <w:top w:val="nil"/>
              <w:bottom w:val="nil"/>
            </w:tcBorders>
          </w:tcPr>
          <w:p>
            <w:pPr>
              <w:pStyle w:val="TableParagraph"/>
              <w:spacing w:before="43"/>
              <w:ind w:right="92"/>
              <w:jc w:val="both"/>
              <w:rPr>
                <w:sz w:val="24"/>
              </w:rPr>
            </w:pPr>
            <w:r>
              <w:rPr>
                <w:sz w:val="24"/>
              </w:rPr>
              <w:t>For clarity, the warranty shall, as a minimum, cover the repair or replacement costs of faulty LED module parts within a reasonable timeframe after notification of the fault (to be defined by the procurer in the ITT), either directly or via other nominated agents. Replacement parts should be the same as the originals, but if this is not possible, equivalent spare parts that perform the same function to the same or to a higher performance level may be</w:t>
            </w:r>
            <w:r>
              <w:rPr>
                <w:spacing w:val="-8"/>
                <w:sz w:val="24"/>
              </w:rPr>
              <w:t> </w:t>
            </w:r>
            <w:r>
              <w:rPr>
                <w:sz w:val="24"/>
              </w:rPr>
              <w:t>used.</w:t>
            </w:r>
          </w:p>
        </w:tc>
        <w:tc>
          <w:tcPr>
            <w:tcW w:w="7253" w:type="dxa"/>
            <w:tcBorders>
              <w:top w:val="nil"/>
              <w:bottom w:val="nil"/>
            </w:tcBorders>
          </w:tcPr>
          <w:p>
            <w:pPr>
              <w:pStyle w:val="TableParagraph"/>
              <w:spacing w:before="43"/>
              <w:ind w:left="109" w:right="91"/>
              <w:jc w:val="both"/>
              <w:rPr>
                <w:sz w:val="24"/>
              </w:rPr>
            </w:pPr>
            <w:r>
              <w:rPr>
                <w:sz w:val="24"/>
              </w:rPr>
              <w:t>For clarity, the warranty shall, as a minimum, cover the repair or replacement costs of faulty LED module parts within a reasonable timeframe after notification of the fault (to be defined by the procurer in the ITT), either directly or via other nominated agents. Replacement parts should be the same as the originals, but if this is not possible, equivalent spare parts that perform the same function to the same or to a higher performance level may be</w:t>
            </w:r>
            <w:r>
              <w:rPr>
                <w:spacing w:val="-8"/>
                <w:sz w:val="24"/>
              </w:rPr>
              <w:t> </w:t>
            </w:r>
            <w:r>
              <w:rPr>
                <w:sz w:val="24"/>
              </w:rPr>
              <w:t>used.</w:t>
            </w:r>
          </w:p>
        </w:tc>
      </w:tr>
      <w:tr>
        <w:trPr>
          <w:trHeight w:val="372" w:hRule="atLeast"/>
        </w:trPr>
        <w:tc>
          <w:tcPr>
            <w:tcW w:w="7253" w:type="dxa"/>
            <w:tcBorders>
              <w:top w:val="nil"/>
              <w:bottom w:val="nil"/>
            </w:tcBorders>
          </w:tcPr>
          <w:p>
            <w:pPr>
              <w:pStyle w:val="TableParagraph"/>
              <w:spacing w:before="43"/>
              <w:rPr>
                <w:sz w:val="24"/>
              </w:rPr>
            </w:pPr>
            <w:r>
              <w:rPr>
                <w:sz w:val="24"/>
              </w:rPr>
              <w:t>The warranty shall not cover the following:</w:t>
            </w:r>
          </w:p>
        </w:tc>
        <w:tc>
          <w:tcPr>
            <w:tcW w:w="7253" w:type="dxa"/>
            <w:tcBorders>
              <w:top w:val="nil"/>
              <w:bottom w:val="nil"/>
            </w:tcBorders>
          </w:tcPr>
          <w:p>
            <w:pPr>
              <w:pStyle w:val="TableParagraph"/>
              <w:spacing w:before="43"/>
              <w:ind w:left="109"/>
              <w:rPr>
                <w:sz w:val="24"/>
              </w:rPr>
            </w:pPr>
            <w:r>
              <w:rPr>
                <w:sz w:val="24"/>
              </w:rPr>
              <w:t>The warranty shall not cover the following:</w:t>
            </w:r>
          </w:p>
        </w:tc>
      </w:tr>
      <w:tr>
        <w:trPr>
          <w:trHeight w:val="648" w:hRule="atLeast"/>
        </w:trPr>
        <w:tc>
          <w:tcPr>
            <w:tcW w:w="7253" w:type="dxa"/>
            <w:tcBorders>
              <w:top w:val="nil"/>
              <w:bottom w:val="nil"/>
            </w:tcBorders>
          </w:tcPr>
          <w:p>
            <w:pPr>
              <w:pStyle w:val="TableParagraph"/>
              <w:tabs>
                <w:tab w:pos="511" w:val="left" w:leader="none"/>
              </w:tabs>
              <w:spacing w:before="43"/>
              <w:ind w:left="510" w:right="183" w:hanging="401"/>
              <w:rPr>
                <w:sz w:val="24"/>
              </w:rPr>
            </w:pPr>
            <w:r>
              <w:rPr>
                <w:sz w:val="24"/>
              </w:rPr>
              <w:t>a)</w:t>
              <w:tab/>
              <w:tab/>
              <w:t>faulty operation due to vandalism, accidents or other extreme weather events;</w:t>
            </w:r>
          </w:p>
        </w:tc>
        <w:tc>
          <w:tcPr>
            <w:tcW w:w="7253" w:type="dxa"/>
            <w:tcBorders>
              <w:top w:val="nil"/>
              <w:bottom w:val="nil"/>
            </w:tcBorders>
          </w:tcPr>
          <w:p>
            <w:pPr>
              <w:pStyle w:val="TableParagraph"/>
              <w:spacing w:before="43"/>
              <w:ind w:left="457" w:right="183" w:hanging="348"/>
              <w:rPr>
                <w:sz w:val="24"/>
              </w:rPr>
            </w:pPr>
            <w:r>
              <w:rPr>
                <w:sz w:val="24"/>
              </w:rPr>
              <w:t>a) faulty operation due to vandalism, accidents or other  extreme  weather events.</w:t>
            </w:r>
          </w:p>
        </w:tc>
      </w:tr>
      <w:tr>
        <w:trPr>
          <w:trHeight w:val="924" w:hRule="atLeast"/>
        </w:trPr>
        <w:tc>
          <w:tcPr>
            <w:tcW w:w="7253" w:type="dxa"/>
            <w:tcBorders>
              <w:top w:val="nil"/>
              <w:bottom w:val="nil"/>
            </w:tcBorders>
          </w:tcPr>
          <w:p>
            <w:pPr>
              <w:pStyle w:val="TableParagraph"/>
              <w:spacing w:before="43"/>
              <w:ind w:left="510" w:right="91" w:hanging="401"/>
              <w:jc w:val="both"/>
              <w:rPr>
                <w:sz w:val="24"/>
              </w:rPr>
            </w:pPr>
            <w:r>
              <w:rPr>
                <w:sz w:val="24"/>
              </w:rPr>
              <w:t>b) lamps or luminaires that have been working for a significant time under abnormal conditions (e.g. used with the wrong line voltage), insofar as this can be proven by the contractor.</w:t>
            </w:r>
          </w:p>
        </w:tc>
        <w:tc>
          <w:tcPr>
            <w:tcW w:w="7253" w:type="dxa"/>
            <w:tcBorders>
              <w:top w:val="nil"/>
              <w:bottom w:val="nil"/>
            </w:tcBorders>
          </w:tcPr>
          <w:p>
            <w:pPr>
              <w:pStyle w:val="TableParagraph"/>
              <w:spacing w:before="43"/>
              <w:ind w:left="457" w:right="91" w:hanging="348"/>
              <w:jc w:val="both"/>
              <w:rPr>
                <w:sz w:val="24"/>
              </w:rPr>
            </w:pPr>
            <w:r>
              <w:rPr>
                <w:sz w:val="24"/>
              </w:rPr>
              <w:t>b) lamps or luminaires that have been working for a significant time under abnormal conditions (e.g. used with the wrong line voltage), insofar as this can be proven by the contractor.</w:t>
            </w:r>
          </w:p>
        </w:tc>
      </w:tr>
      <w:tr>
        <w:trPr>
          <w:trHeight w:val="422" w:hRule="atLeast"/>
        </w:trPr>
        <w:tc>
          <w:tcPr>
            <w:tcW w:w="7253" w:type="dxa"/>
            <w:tcBorders>
              <w:top w:val="nil"/>
            </w:tcBorders>
          </w:tcPr>
          <w:p>
            <w:pPr>
              <w:pStyle w:val="TableParagraph"/>
              <w:spacing w:before="43"/>
              <w:rPr>
                <w:i/>
                <w:sz w:val="24"/>
              </w:rPr>
            </w:pPr>
            <w:r>
              <w:rPr>
                <w:sz w:val="24"/>
              </w:rPr>
              <w:t>*</w:t>
            </w:r>
            <w:r>
              <w:rPr>
                <w:i/>
                <w:sz w:val="24"/>
              </w:rPr>
              <w:t>To be updated to LM-84 and TM 28 when these versions are published.</w:t>
            </w:r>
          </w:p>
        </w:tc>
        <w:tc>
          <w:tcPr>
            <w:tcW w:w="7253" w:type="dxa"/>
            <w:tcBorders>
              <w:top w:val="nil"/>
            </w:tcBorders>
          </w:tcPr>
          <w:p>
            <w:pPr>
              <w:pStyle w:val="TableParagraph"/>
              <w:spacing w:before="43"/>
              <w:ind w:left="109"/>
              <w:rPr>
                <w:i/>
                <w:sz w:val="24"/>
              </w:rPr>
            </w:pPr>
            <w:r>
              <w:rPr>
                <w:sz w:val="24"/>
              </w:rPr>
              <w:t>*</w:t>
            </w:r>
            <w:r>
              <w:rPr>
                <w:i/>
                <w:sz w:val="24"/>
              </w:rPr>
              <w:t>To be updated to LM-84 and TM 28 when these versions are published.</w:t>
            </w:r>
          </w:p>
        </w:tc>
      </w:tr>
      <w:tr>
        <w:trPr>
          <w:trHeight w:val="395" w:hRule="atLeast"/>
        </w:trPr>
        <w:tc>
          <w:tcPr>
            <w:tcW w:w="14506" w:type="dxa"/>
            <w:gridSpan w:val="2"/>
            <w:shd w:val="clear" w:color="auto" w:fill="92D050"/>
          </w:tcPr>
          <w:p>
            <w:pPr>
              <w:pStyle w:val="TableParagraph"/>
              <w:spacing w:before="56"/>
              <w:ind w:left="5051" w:right="5040"/>
              <w:jc w:val="center"/>
              <w:rPr>
                <w:b/>
                <w:sz w:val="24"/>
              </w:rPr>
            </w:pPr>
            <w:r>
              <w:rPr>
                <w:b/>
                <w:sz w:val="24"/>
              </w:rPr>
              <w:t>AWARD CRITERIA</w:t>
            </w:r>
          </w:p>
        </w:tc>
      </w:tr>
      <w:tr>
        <w:trPr>
          <w:trHeight w:val="2332" w:hRule="atLeast"/>
        </w:trPr>
        <w:tc>
          <w:tcPr>
            <w:tcW w:w="14506" w:type="dxa"/>
            <w:gridSpan w:val="2"/>
          </w:tcPr>
          <w:p>
            <w:pPr>
              <w:pStyle w:val="TableParagraph"/>
              <w:spacing w:before="37"/>
              <w:rPr>
                <w:b/>
                <w:sz w:val="24"/>
              </w:rPr>
            </w:pPr>
            <w:r>
              <w:rPr>
                <w:b/>
                <w:sz w:val="24"/>
              </w:rPr>
              <w:t>AC1. Lowest life cycle cost</w:t>
            </w:r>
          </w:p>
          <w:p>
            <w:pPr>
              <w:pStyle w:val="TableParagraph"/>
              <w:spacing w:before="41"/>
              <w:rPr>
                <w:b/>
                <w:i/>
                <w:sz w:val="24"/>
              </w:rPr>
            </w:pPr>
            <w:r>
              <w:rPr>
                <w:b/>
                <w:i/>
                <w:sz w:val="24"/>
              </w:rPr>
              <w:t>(Applies to TS1.)</w:t>
            </w:r>
          </w:p>
          <w:p>
            <w:pPr>
              <w:pStyle w:val="TableParagraph"/>
              <w:spacing w:before="33"/>
              <w:rPr>
                <w:i/>
                <w:sz w:val="24"/>
              </w:rPr>
            </w:pPr>
            <w:r>
              <w:rPr>
                <w:i/>
                <w:sz w:val="24"/>
              </w:rPr>
              <w:t>(Same for core and comprehensive criteria.)</w:t>
            </w:r>
          </w:p>
          <w:p>
            <w:pPr>
              <w:pStyle w:val="TableParagraph"/>
              <w:ind w:left="0"/>
              <w:rPr>
                <w:sz w:val="38"/>
              </w:rPr>
            </w:pPr>
          </w:p>
          <w:p>
            <w:pPr>
              <w:pStyle w:val="TableParagraph"/>
              <w:rPr>
                <w:sz w:val="24"/>
              </w:rPr>
            </w:pPr>
            <w:r>
              <w:rPr>
                <w:sz w:val="24"/>
              </w:rPr>
              <w:t>A maximum of X points shall be awarded to the tenderer whose proposal is shown to have the lowest life cycle cost.</w:t>
            </w:r>
          </w:p>
          <w:p>
            <w:pPr>
              <w:pStyle w:val="TableParagraph"/>
              <w:spacing w:before="41"/>
              <w:rPr>
                <w:sz w:val="24"/>
              </w:rPr>
            </w:pPr>
            <w:r>
              <w:rPr>
                <w:sz w:val="24"/>
              </w:rPr>
              <w:t>Points shall be awarded to other tenderers in proportion to how their life cycle cost compares to the lowest cost using the following formula:</w:t>
            </w:r>
          </w:p>
        </w:tc>
      </w:tr>
    </w:tbl>
    <w:p>
      <w:pPr>
        <w:spacing w:after="0"/>
        <w:rPr>
          <w:sz w:val="24"/>
        </w:rPr>
        <w:sectPr>
          <w:pgSz w:w="16840" w:h="11900" w:orient="landscape"/>
          <w:pgMar w:header="0" w:footer="1334" w:top="1100" w:bottom="1520" w:left="1000" w:right="1020"/>
        </w:sectPr>
      </w:pPr>
    </w:p>
    <w:p>
      <w:pPr>
        <w:pStyle w:val="BodyText"/>
        <w:rPr>
          <w:sz w:val="20"/>
        </w:rPr>
      </w:pPr>
      <w:r>
        <w:rPr/>
        <w:pict>
          <v:line style="position:absolute;mso-position-horizontal-relative:page;mso-position-vertical-relative:page;z-index:-79264" from="447.121002pt,129.541pt" to="584.401002pt,129.541pt" stroked="true" strokeweight=".84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1862" w:hRule="atLeast"/>
        </w:trPr>
        <w:tc>
          <w:tcPr>
            <w:tcW w:w="14506" w:type="dxa"/>
          </w:tcPr>
          <w:p>
            <w:pPr>
              <w:pStyle w:val="TableParagraph"/>
              <w:spacing w:line="376" w:lineRule="exact"/>
              <w:ind w:left="3983"/>
              <w:rPr>
                <w:rFonts w:ascii="Trebuchet MS"/>
                <w:sz w:val="24"/>
              </w:rPr>
            </w:pPr>
            <w:r>
              <w:rPr>
                <w:rFonts w:ascii="Trebuchet MS"/>
                <w:w w:val="110"/>
                <w:sz w:val="24"/>
              </w:rPr>
              <w:t>Points awarded to tender A </w:t>
            </w:r>
            <w:r>
              <w:rPr>
                <w:rFonts w:ascii="Trebuchet MS"/>
                <w:w w:val="115"/>
                <w:sz w:val="24"/>
              </w:rPr>
              <w:t>= </w:t>
            </w:r>
            <w:r>
              <w:rPr>
                <w:rFonts w:ascii="Trebuchet MS"/>
                <w:w w:val="110"/>
                <w:sz w:val="24"/>
              </w:rPr>
              <w:t>X x </w:t>
            </w:r>
            <w:r>
              <w:rPr>
                <w:rFonts w:ascii="Trebuchet MS"/>
                <w:w w:val="110"/>
                <w:position w:val="18"/>
                <w:sz w:val="24"/>
              </w:rPr>
              <w:t>lowest LCC of all tenders</w:t>
            </w:r>
          </w:p>
          <w:p>
            <w:pPr>
              <w:pStyle w:val="TableParagraph"/>
              <w:spacing w:line="220" w:lineRule="exact"/>
              <w:ind w:left="8284"/>
              <w:rPr>
                <w:rFonts w:ascii="Trebuchet MS"/>
                <w:sz w:val="24"/>
              </w:rPr>
            </w:pPr>
            <w:r>
              <w:rPr>
                <w:rFonts w:ascii="Trebuchet MS"/>
                <w:w w:val="105"/>
                <w:sz w:val="24"/>
              </w:rPr>
              <w:t>LCC of tender A</w:t>
            </w:r>
          </w:p>
          <w:p>
            <w:pPr>
              <w:pStyle w:val="TableParagraph"/>
              <w:spacing w:before="11"/>
              <w:ind w:left="0"/>
              <w:rPr>
                <w:sz w:val="30"/>
              </w:rPr>
            </w:pPr>
          </w:p>
          <w:p>
            <w:pPr>
              <w:pStyle w:val="TableParagraph"/>
              <w:rPr>
                <w:b/>
                <w:sz w:val="24"/>
              </w:rPr>
            </w:pPr>
            <w:r>
              <w:rPr>
                <w:b/>
                <w:sz w:val="24"/>
              </w:rPr>
              <w:t>Verification:</w:t>
            </w:r>
          </w:p>
          <w:p>
            <w:pPr>
              <w:pStyle w:val="TableParagraph"/>
              <w:spacing w:before="34"/>
              <w:ind w:right="142"/>
              <w:rPr>
                <w:sz w:val="24"/>
              </w:rPr>
            </w:pPr>
            <w:r>
              <w:rPr>
                <w:sz w:val="24"/>
              </w:rPr>
              <w:t>Once all tenders have been received, the procurer shall be able to determine which tender provides the lowest life cycle cost and use this to determine how many points should be applied to each tender.</w:t>
            </w:r>
          </w:p>
        </w:tc>
      </w:tr>
      <w:tr>
        <w:trPr>
          <w:trHeight w:val="5694" w:hRule="atLeast"/>
        </w:trPr>
        <w:tc>
          <w:tcPr>
            <w:tcW w:w="14506" w:type="dxa"/>
          </w:tcPr>
          <w:p>
            <w:pPr>
              <w:pStyle w:val="TableParagraph"/>
              <w:spacing w:before="37"/>
              <w:rPr>
                <w:b/>
                <w:sz w:val="24"/>
              </w:rPr>
            </w:pPr>
            <w:r>
              <w:rPr>
                <w:b/>
                <w:sz w:val="24"/>
              </w:rPr>
              <w:t>AC2. Extended warranty</w:t>
            </w:r>
          </w:p>
          <w:p>
            <w:pPr>
              <w:pStyle w:val="TableParagraph"/>
              <w:spacing w:before="38"/>
              <w:rPr>
                <w:b/>
                <w:i/>
                <w:sz w:val="24"/>
              </w:rPr>
            </w:pPr>
            <w:r>
              <w:rPr>
                <w:b/>
                <w:i/>
                <w:sz w:val="24"/>
              </w:rPr>
              <w:t>(Applies to TS2.)</w:t>
            </w:r>
          </w:p>
          <w:p>
            <w:pPr>
              <w:pStyle w:val="TableParagraph"/>
              <w:spacing w:before="36"/>
              <w:rPr>
                <w:i/>
                <w:sz w:val="24"/>
              </w:rPr>
            </w:pPr>
            <w:r>
              <w:rPr>
                <w:i/>
                <w:sz w:val="24"/>
              </w:rPr>
              <w:t>(Same for core and comprehensive criteria.)</w:t>
            </w:r>
          </w:p>
          <w:p>
            <w:pPr>
              <w:pStyle w:val="TableParagraph"/>
              <w:ind w:left="0"/>
              <w:rPr>
                <w:sz w:val="38"/>
              </w:rPr>
            </w:pPr>
          </w:p>
          <w:p>
            <w:pPr>
              <w:pStyle w:val="TableParagraph"/>
              <w:ind w:right="93"/>
              <w:jc w:val="both"/>
              <w:rPr>
                <w:sz w:val="24"/>
              </w:rPr>
            </w:pPr>
            <w:r>
              <w:rPr>
                <w:sz w:val="24"/>
              </w:rPr>
              <w:t>A maximum of X points shall be awarded to tenderers that are willing to provide initial warranties that go beyond the minimum warranty periods stated in TS2 and whose cost is already included in the bid price. Points shall be awarded in proportion to how long the warranty exceeds the minimum requirements, as follows:</w:t>
            </w:r>
          </w:p>
          <w:p>
            <w:pPr>
              <w:pStyle w:val="TableParagraph"/>
              <w:numPr>
                <w:ilvl w:val="0"/>
                <w:numId w:val="40"/>
              </w:numPr>
              <w:tabs>
                <w:tab w:pos="905" w:val="left" w:leader="none"/>
              </w:tabs>
              <w:spacing w:line="240" w:lineRule="auto" w:before="56" w:after="0"/>
              <w:ind w:left="904" w:right="0" w:hanging="360"/>
              <w:jc w:val="left"/>
              <w:rPr>
                <w:sz w:val="24"/>
              </w:rPr>
            </w:pPr>
            <w:r>
              <w:rPr>
                <w:sz w:val="24"/>
              </w:rPr>
              <w:t>Minimum + 1 year: 0.2X</w:t>
            </w:r>
            <w:r>
              <w:rPr>
                <w:spacing w:val="2"/>
                <w:sz w:val="24"/>
              </w:rPr>
              <w:t> </w:t>
            </w:r>
            <w:r>
              <w:rPr>
                <w:sz w:val="24"/>
              </w:rPr>
              <w:t>points</w:t>
            </w:r>
          </w:p>
          <w:p>
            <w:pPr>
              <w:pStyle w:val="TableParagraph"/>
              <w:numPr>
                <w:ilvl w:val="0"/>
                <w:numId w:val="40"/>
              </w:numPr>
              <w:tabs>
                <w:tab w:pos="905" w:val="left" w:leader="none"/>
              </w:tabs>
              <w:spacing w:line="240" w:lineRule="auto" w:before="37" w:after="0"/>
              <w:ind w:left="904" w:right="0" w:hanging="360"/>
              <w:jc w:val="left"/>
              <w:rPr>
                <w:sz w:val="24"/>
              </w:rPr>
            </w:pPr>
            <w:r>
              <w:rPr>
                <w:sz w:val="24"/>
              </w:rPr>
              <w:t>Minimum + 2 years: 0.4X</w:t>
            </w:r>
            <w:r>
              <w:rPr>
                <w:spacing w:val="-4"/>
                <w:sz w:val="24"/>
              </w:rPr>
              <w:t> </w:t>
            </w:r>
            <w:r>
              <w:rPr>
                <w:sz w:val="24"/>
              </w:rPr>
              <w:t>points</w:t>
            </w:r>
          </w:p>
          <w:p>
            <w:pPr>
              <w:pStyle w:val="TableParagraph"/>
              <w:numPr>
                <w:ilvl w:val="0"/>
                <w:numId w:val="40"/>
              </w:numPr>
              <w:tabs>
                <w:tab w:pos="905" w:val="left" w:leader="none"/>
              </w:tabs>
              <w:spacing w:line="240" w:lineRule="auto" w:before="38" w:after="0"/>
              <w:ind w:left="904" w:right="0" w:hanging="360"/>
              <w:jc w:val="left"/>
              <w:rPr>
                <w:sz w:val="24"/>
              </w:rPr>
            </w:pPr>
            <w:r>
              <w:rPr>
                <w:sz w:val="24"/>
              </w:rPr>
              <w:t>Minimum + 3 years: 0.6X</w:t>
            </w:r>
            <w:r>
              <w:rPr>
                <w:spacing w:val="-4"/>
                <w:sz w:val="24"/>
              </w:rPr>
              <w:t> </w:t>
            </w:r>
            <w:r>
              <w:rPr>
                <w:sz w:val="24"/>
              </w:rPr>
              <w:t>points</w:t>
            </w:r>
          </w:p>
          <w:p>
            <w:pPr>
              <w:pStyle w:val="TableParagraph"/>
              <w:numPr>
                <w:ilvl w:val="0"/>
                <w:numId w:val="40"/>
              </w:numPr>
              <w:tabs>
                <w:tab w:pos="905" w:val="left" w:leader="none"/>
              </w:tabs>
              <w:spacing w:line="240" w:lineRule="auto" w:before="37" w:after="0"/>
              <w:ind w:left="904" w:right="0" w:hanging="360"/>
              <w:jc w:val="left"/>
              <w:rPr>
                <w:sz w:val="24"/>
              </w:rPr>
            </w:pPr>
            <w:r>
              <w:rPr>
                <w:sz w:val="24"/>
              </w:rPr>
              <w:t>Minimum + 4 years: 0.8X</w:t>
            </w:r>
            <w:r>
              <w:rPr>
                <w:spacing w:val="-4"/>
                <w:sz w:val="24"/>
              </w:rPr>
              <w:t> </w:t>
            </w:r>
            <w:r>
              <w:rPr>
                <w:sz w:val="24"/>
              </w:rPr>
              <w:t>points</w:t>
            </w:r>
          </w:p>
          <w:p>
            <w:pPr>
              <w:pStyle w:val="TableParagraph"/>
              <w:numPr>
                <w:ilvl w:val="0"/>
                <w:numId w:val="40"/>
              </w:numPr>
              <w:tabs>
                <w:tab w:pos="905" w:val="left" w:leader="none"/>
              </w:tabs>
              <w:spacing w:line="240" w:lineRule="auto" w:before="37" w:after="0"/>
              <w:ind w:left="904" w:right="0" w:hanging="360"/>
              <w:jc w:val="left"/>
              <w:rPr>
                <w:sz w:val="24"/>
              </w:rPr>
            </w:pPr>
            <w:r>
              <w:rPr>
                <w:sz w:val="24"/>
              </w:rPr>
              <w:t>Minimum + 5 years or more: X</w:t>
            </w:r>
            <w:r>
              <w:rPr>
                <w:spacing w:val="-2"/>
                <w:sz w:val="24"/>
              </w:rPr>
              <w:t> </w:t>
            </w:r>
            <w:r>
              <w:rPr>
                <w:sz w:val="24"/>
              </w:rPr>
              <w:t>points</w:t>
            </w:r>
          </w:p>
          <w:p>
            <w:pPr>
              <w:pStyle w:val="TableParagraph"/>
              <w:spacing w:before="21"/>
              <w:ind w:right="96"/>
              <w:jc w:val="both"/>
              <w:rPr>
                <w:sz w:val="24"/>
              </w:rPr>
            </w:pPr>
            <w:r>
              <w:rPr>
                <w:sz w:val="24"/>
              </w:rPr>
              <w:t>Tenderers may also optionally provide quotations for extended warranties that are not included in the bid price, although points shall not be awarded for this. </w:t>
            </w:r>
            <w:r>
              <w:rPr>
                <w:spacing w:val="-3"/>
                <w:sz w:val="24"/>
              </w:rPr>
              <w:t>In </w:t>
            </w:r>
            <w:r>
              <w:rPr>
                <w:sz w:val="24"/>
              </w:rPr>
              <w:t>such cases, no payment for any extended warranty will be required until the final year of the initial warranty, after which the procurer will make annual payments to the successful tenderer at the beginning of each year of the extended</w:t>
            </w:r>
            <w:r>
              <w:rPr>
                <w:spacing w:val="-21"/>
                <w:sz w:val="24"/>
              </w:rPr>
              <w:t> </w:t>
            </w:r>
            <w:r>
              <w:rPr>
                <w:sz w:val="24"/>
              </w:rPr>
              <w:t>warranty.</w:t>
            </w:r>
          </w:p>
          <w:p>
            <w:pPr>
              <w:pStyle w:val="TableParagraph"/>
              <w:spacing w:before="39"/>
              <w:ind w:right="96"/>
              <w:jc w:val="both"/>
              <w:rPr>
                <w:sz w:val="24"/>
              </w:rPr>
            </w:pPr>
            <w:r>
              <w:rPr>
                <w:sz w:val="24"/>
              </w:rPr>
              <w:t>Furthermore, the procurer will have the option to initiate or reject the offer of an extended warranty right up until the final year of the initial warranty; the costs of the extended warranty will be those initially proposed, plus inflation.</w:t>
            </w:r>
          </w:p>
        </w:tc>
      </w:tr>
    </w:tbl>
    <w:p>
      <w:pPr>
        <w:spacing w:after="0"/>
        <w:jc w:val="both"/>
        <w:rPr>
          <w:sz w:val="24"/>
        </w:rPr>
        <w:sectPr>
          <w:pgSz w:w="16840" w:h="11900" w:orient="landscape"/>
          <w:pgMar w:header="0" w:footer="1334" w:top="1100" w:bottom="152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4067" w:hRule="atLeast"/>
        </w:trPr>
        <w:tc>
          <w:tcPr>
            <w:tcW w:w="14506" w:type="dxa"/>
          </w:tcPr>
          <w:p>
            <w:pPr>
              <w:pStyle w:val="TableParagraph"/>
              <w:spacing w:before="37"/>
              <w:rPr>
                <w:b/>
                <w:sz w:val="24"/>
              </w:rPr>
            </w:pPr>
            <w:r>
              <w:rPr>
                <w:b/>
                <w:sz w:val="24"/>
              </w:rPr>
              <w:t>AC3. Dimming controls</w:t>
            </w:r>
          </w:p>
          <w:p>
            <w:pPr>
              <w:pStyle w:val="TableParagraph"/>
              <w:spacing w:before="38"/>
              <w:ind w:right="142"/>
              <w:rPr>
                <w:b/>
                <w:i/>
                <w:sz w:val="24"/>
              </w:rPr>
            </w:pPr>
            <w:r>
              <w:rPr>
                <w:b/>
                <w:i/>
                <w:sz w:val="24"/>
              </w:rPr>
              <w:t>(Applicable to all calls for tender, unless it is clear that dimming controls would lead to a higher total cost of ownership. Procurers should </w:t>
            </w:r>
            <w:r>
              <w:rPr>
                <w:b/>
                <w:i/>
                <w:sz w:val="24"/>
              </w:rPr>
              <w:t>clearly define the desired dimming performance in the</w:t>
            </w:r>
            <w:r>
              <w:rPr>
                <w:b/>
                <w:i/>
                <w:spacing w:val="-6"/>
                <w:sz w:val="24"/>
              </w:rPr>
              <w:t> </w:t>
            </w:r>
            <w:r>
              <w:rPr>
                <w:b/>
                <w:i/>
                <w:sz w:val="24"/>
              </w:rPr>
              <w:t>ITT.)</w:t>
            </w:r>
          </w:p>
          <w:p>
            <w:pPr>
              <w:pStyle w:val="TableParagraph"/>
              <w:spacing w:before="37"/>
              <w:rPr>
                <w:i/>
                <w:sz w:val="24"/>
              </w:rPr>
            </w:pPr>
            <w:r>
              <w:rPr>
                <w:i/>
                <w:sz w:val="24"/>
              </w:rPr>
              <w:t>(Same for core and comprehensive criteria.)</w:t>
            </w:r>
          </w:p>
          <w:p>
            <w:pPr>
              <w:pStyle w:val="TableParagraph"/>
              <w:spacing w:before="11"/>
              <w:ind w:left="0"/>
              <w:rPr>
                <w:sz w:val="37"/>
              </w:rPr>
            </w:pPr>
          </w:p>
          <w:p>
            <w:pPr>
              <w:pStyle w:val="TableParagraph"/>
              <w:ind w:right="83"/>
              <w:rPr>
                <w:sz w:val="24"/>
              </w:rPr>
            </w:pPr>
            <w:r>
              <w:rPr>
                <w:sz w:val="24"/>
              </w:rPr>
              <w:t>Points shall be awarded to tenderers that specify light sources and luminaires with fully functional dimming controls that are programmable to implement dimming during periods of low night-time road use intensity.</w:t>
            </w:r>
          </w:p>
          <w:p>
            <w:pPr>
              <w:pStyle w:val="TableParagraph"/>
              <w:spacing w:before="3"/>
              <w:ind w:left="0"/>
              <w:rPr>
                <w:sz w:val="31"/>
              </w:rPr>
            </w:pPr>
          </w:p>
          <w:p>
            <w:pPr>
              <w:pStyle w:val="TableParagraph"/>
              <w:rPr>
                <w:b/>
                <w:sz w:val="24"/>
              </w:rPr>
            </w:pPr>
            <w:r>
              <w:rPr>
                <w:b/>
                <w:sz w:val="24"/>
              </w:rPr>
              <w:t>Verification:</w:t>
            </w:r>
          </w:p>
          <w:p>
            <w:pPr>
              <w:pStyle w:val="TableParagraph"/>
              <w:spacing w:before="36"/>
              <w:ind w:right="83"/>
              <w:rPr>
                <w:sz w:val="24"/>
              </w:rPr>
            </w:pPr>
            <w:r>
              <w:rPr>
                <w:sz w:val="24"/>
              </w:rPr>
              <w:t>The tenderer shall provide documentation from the manufacturer(s) of the light sources and luminaires that are proposed for use by the tenderer, showing that they are compatible with dimming controls.</w:t>
            </w:r>
          </w:p>
          <w:p>
            <w:pPr>
              <w:pStyle w:val="TableParagraph"/>
              <w:spacing w:before="39"/>
              <w:ind w:right="83"/>
              <w:rPr>
                <w:sz w:val="24"/>
              </w:rPr>
            </w:pPr>
            <w:r>
              <w:rPr>
                <w:sz w:val="24"/>
              </w:rPr>
              <w:t>The documentation shall also provide a power curve of light output versus power consumption, state the maximum dimming possible and provide instructions about how to programme and re-programme the controls.</w:t>
            </w:r>
          </w:p>
        </w:tc>
      </w:tr>
    </w:tbl>
    <w:p>
      <w:pPr>
        <w:spacing w:after="0"/>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3"/>
        </w:numPr>
        <w:tabs>
          <w:tab w:pos="699" w:val="left" w:leader="none"/>
          <w:tab w:pos="700" w:val="left" w:leader="none"/>
        </w:tabs>
        <w:spacing w:line="240" w:lineRule="auto" w:before="246" w:after="0"/>
        <w:ind w:left="699" w:right="0" w:hanging="567"/>
        <w:jc w:val="left"/>
      </w:pPr>
      <w:bookmarkStart w:name="_TOC_250001" w:id="8"/>
      <w:r>
        <w:rPr/>
        <w:t>LIFE CYCLE</w:t>
      </w:r>
      <w:r>
        <w:rPr>
          <w:spacing w:val="-3"/>
        </w:rPr>
        <w:t> </w:t>
      </w:r>
      <w:bookmarkEnd w:id="8"/>
      <w:r>
        <w:rPr/>
        <w:t>COSTING</w:t>
      </w:r>
    </w:p>
    <w:p>
      <w:pPr>
        <w:pStyle w:val="BodyText"/>
        <w:spacing w:before="10"/>
        <w:rPr>
          <w:b/>
          <w:sz w:val="33"/>
        </w:rPr>
      </w:pPr>
    </w:p>
    <w:p>
      <w:pPr>
        <w:pStyle w:val="BodyText"/>
        <w:ind w:left="132" w:right="111"/>
        <w:jc w:val="both"/>
      </w:pPr>
      <w:r>
        <w:rPr/>
        <w:t>Life cycle costing is a hugely relevant topic for road lighting. The dominant life cycle cost for traditional High Intensity Discharge (HID) technologies has always been electricity consumption during the use phase. LED technologies are more efficient but, although their cost has rapidly decreased during the last five years, they are also more expensive to buy. That is why public authorities need to be able to make the best objective decision for them from an economic perspective. This matter is especially sensitive, since the conversion of a road lighting installation from HID to LED typically requires a high capital outlay greater than a public authority’s annual road lighting budget. Consequently, demonstrating lower life cycle costs may actually be a pre-requisite for obtaining financing to convert to a LED</w:t>
      </w:r>
      <w:r>
        <w:rPr>
          <w:spacing w:val="-14"/>
        </w:rPr>
        <w:t> </w:t>
      </w:r>
      <w:r>
        <w:rPr/>
        <w:t>installation.</w:t>
      </w:r>
    </w:p>
    <w:p>
      <w:pPr>
        <w:pStyle w:val="BodyText"/>
        <w:spacing w:before="120"/>
        <w:ind w:left="132" w:right="110"/>
        <w:jc w:val="both"/>
      </w:pPr>
      <w:r>
        <w:rPr/>
        <w:t>A number of life cycle cost comparisons have been carried out in US cities and towns, where LED uptake for road lighting installations began. Some are briefly described below.</w:t>
      </w:r>
    </w:p>
    <w:p>
      <w:pPr>
        <w:pStyle w:val="ListParagraph"/>
        <w:numPr>
          <w:ilvl w:val="0"/>
          <w:numId w:val="41"/>
        </w:numPr>
        <w:tabs>
          <w:tab w:pos="853" w:val="left" w:leader="none"/>
        </w:tabs>
        <w:spacing w:line="230" w:lineRule="auto" w:before="147" w:after="0"/>
        <w:ind w:left="852" w:right="114" w:hanging="360"/>
        <w:jc w:val="both"/>
        <w:rPr>
          <w:sz w:val="24"/>
        </w:rPr>
      </w:pPr>
      <w:r>
        <w:rPr>
          <w:sz w:val="24"/>
        </w:rPr>
        <w:t>The City of Portland invested $18.5 million in replacing 45 000 HPS light points with LED with 50 % lower energy consumption — leading to savings of $1.5 million per year in reduced energy and maintenance costs. That equates to a payback period of eight years when discount rates are factored in (</w:t>
      </w:r>
      <w:r>
        <w:rPr>
          <w:color w:val="0000FF"/>
          <w:sz w:val="24"/>
          <w:u w:val="single" w:color="0000FF"/>
        </w:rPr>
        <w:t>Portland,</w:t>
      </w:r>
      <w:r>
        <w:rPr>
          <w:color w:val="0000FF"/>
          <w:spacing w:val="-1"/>
          <w:sz w:val="24"/>
          <w:u w:val="single" w:color="0000FF"/>
        </w:rPr>
        <w:t> </w:t>
      </w:r>
      <w:r>
        <w:rPr>
          <w:color w:val="0000FF"/>
          <w:sz w:val="24"/>
          <w:u w:val="single" w:color="0000FF"/>
        </w:rPr>
        <w:t>2015</w:t>
      </w:r>
      <w:r>
        <w:rPr>
          <w:sz w:val="24"/>
        </w:rPr>
        <w:t>).</w:t>
      </w:r>
    </w:p>
    <w:p>
      <w:pPr>
        <w:pStyle w:val="ListParagraph"/>
        <w:numPr>
          <w:ilvl w:val="0"/>
          <w:numId w:val="41"/>
        </w:numPr>
        <w:tabs>
          <w:tab w:pos="853" w:val="left" w:leader="none"/>
        </w:tabs>
        <w:spacing w:line="237" w:lineRule="auto" w:before="144" w:after="0"/>
        <w:ind w:left="852" w:right="107" w:hanging="360"/>
        <w:jc w:val="both"/>
        <w:rPr>
          <w:sz w:val="24"/>
        </w:rPr>
      </w:pPr>
      <w:r>
        <w:rPr>
          <w:sz w:val="24"/>
        </w:rPr>
        <w:t>The City of Los Angeles invested $57 million in replacing 140 000 HPS light points with LED with 3 % lower energy consumption (</w:t>
      </w:r>
      <w:r>
        <w:rPr>
          <w:color w:val="0000FF"/>
          <w:sz w:val="24"/>
          <w:u w:val="single" w:color="0000FF"/>
        </w:rPr>
        <w:t>Los Angeles, 2013</w:t>
      </w:r>
      <w:r>
        <w:rPr>
          <w:sz w:val="24"/>
        </w:rPr>
        <w:t>). The energy savings were initially expected to be around 40 %, but advances in LED technology ahead of the project resulted in greater savings. The study also noted rapidly falling unit costs (e.g. between March and September 2012, the cost fell from $495 to $309). Annual savings of $2.5 million in maintenance costs alone are expected, due to the lower failure rate of LED (0.2 % for LED versus 10 % for HPS). Together with $7.5 million savings in electricity costs, the total annual savings of $10 million should result in a payback period of five to six years. However, the study urged caution in procuring LED solutions, when it was found that only 84 of 244 LED units met the quality specifications set out by the Bureau of Street Lighting website (</w:t>
      </w:r>
      <w:r>
        <w:rPr>
          <w:color w:val="0000FF"/>
          <w:sz w:val="24"/>
          <w:u w:val="single" w:color="0000FF"/>
        </w:rPr>
        <w:t>BSL,</w:t>
      </w:r>
      <w:r>
        <w:rPr>
          <w:color w:val="0000FF"/>
          <w:spacing w:val="-14"/>
          <w:sz w:val="24"/>
          <w:u w:val="single" w:color="0000FF"/>
        </w:rPr>
        <w:t> </w:t>
      </w:r>
      <w:r>
        <w:rPr>
          <w:color w:val="0000FF"/>
          <w:sz w:val="24"/>
          <w:u w:val="single" w:color="0000FF"/>
        </w:rPr>
        <w:t>2018</w:t>
      </w:r>
      <w:r>
        <w:rPr>
          <w:sz w:val="24"/>
        </w:rPr>
        <w:t>).</w:t>
      </w:r>
    </w:p>
    <w:p>
      <w:pPr>
        <w:pStyle w:val="ListParagraph"/>
        <w:numPr>
          <w:ilvl w:val="0"/>
          <w:numId w:val="41"/>
        </w:numPr>
        <w:tabs>
          <w:tab w:pos="853" w:val="left" w:leader="none"/>
        </w:tabs>
        <w:spacing w:line="235" w:lineRule="auto" w:before="138" w:after="0"/>
        <w:ind w:left="852" w:right="114" w:hanging="360"/>
        <w:jc w:val="both"/>
        <w:rPr>
          <w:sz w:val="24"/>
        </w:rPr>
      </w:pPr>
      <w:r>
        <w:rPr>
          <w:sz w:val="24"/>
        </w:rPr>
        <w:t>Charlotte County considered the costs in 2016 of changing their 2 145 light points from HPS to LED lighting. Their existing maintenance costs were assumed to be between $28 and $55 per light point, depending on the type. The power cost of an HPS light was around $12/month and a LED light assumed to be $6/month (a 50 % reduction). Current energy and maintenance costs (for HPS) are $310 000 and $80 000 respectively. The costs they quoted for different types of luminaire were as follows: cobra head (HPS $345, LED $780) and decorative head (HPS $1 200, LED</w:t>
      </w:r>
      <w:r>
        <w:rPr>
          <w:spacing w:val="16"/>
          <w:sz w:val="24"/>
        </w:rPr>
        <w:t> </w:t>
      </w:r>
      <w:r>
        <w:rPr>
          <w:sz w:val="24"/>
        </w:rPr>
        <w:t>$1</w:t>
      </w:r>
      <w:r>
        <w:rPr>
          <w:spacing w:val="-3"/>
          <w:sz w:val="24"/>
        </w:rPr>
        <w:t> </w:t>
      </w:r>
      <w:r>
        <w:rPr>
          <w:sz w:val="24"/>
        </w:rPr>
        <w:t>800).</w:t>
      </w:r>
      <w:r>
        <w:rPr>
          <w:spacing w:val="19"/>
          <w:sz w:val="24"/>
        </w:rPr>
        <w:t> </w:t>
      </w:r>
      <w:r>
        <w:rPr>
          <w:spacing w:val="-3"/>
          <w:sz w:val="24"/>
        </w:rPr>
        <w:t>It</w:t>
      </w:r>
      <w:r>
        <w:rPr>
          <w:spacing w:val="17"/>
          <w:sz w:val="24"/>
        </w:rPr>
        <w:t> </w:t>
      </w:r>
      <w:r>
        <w:rPr>
          <w:sz w:val="24"/>
        </w:rPr>
        <w:t>was</w:t>
      </w:r>
      <w:r>
        <w:rPr>
          <w:spacing w:val="17"/>
          <w:sz w:val="24"/>
        </w:rPr>
        <w:t> </w:t>
      </w:r>
      <w:r>
        <w:rPr>
          <w:sz w:val="24"/>
        </w:rPr>
        <w:t>assumed</w:t>
      </w:r>
      <w:r>
        <w:rPr>
          <w:spacing w:val="14"/>
          <w:sz w:val="24"/>
        </w:rPr>
        <w:t> </w:t>
      </w:r>
      <w:r>
        <w:rPr>
          <w:sz w:val="24"/>
        </w:rPr>
        <w:t>that</w:t>
      </w:r>
      <w:r>
        <w:rPr>
          <w:spacing w:val="14"/>
          <w:sz w:val="24"/>
        </w:rPr>
        <w:t> </w:t>
      </w:r>
      <w:r>
        <w:rPr>
          <w:sz w:val="24"/>
        </w:rPr>
        <w:t>an</w:t>
      </w:r>
      <w:r>
        <w:rPr>
          <w:spacing w:val="17"/>
          <w:sz w:val="24"/>
        </w:rPr>
        <w:t> </w:t>
      </w:r>
      <w:r>
        <w:rPr>
          <w:sz w:val="24"/>
        </w:rPr>
        <w:t>HPS</w:t>
      </w:r>
      <w:r>
        <w:rPr>
          <w:spacing w:val="15"/>
          <w:sz w:val="24"/>
        </w:rPr>
        <w:t> </w:t>
      </w:r>
      <w:r>
        <w:rPr>
          <w:sz w:val="24"/>
        </w:rPr>
        <w:t>lamp</w:t>
      </w:r>
      <w:r>
        <w:rPr>
          <w:spacing w:val="17"/>
          <w:sz w:val="24"/>
        </w:rPr>
        <w:t> </w:t>
      </w:r>
      <w:r>
        <w:rPr>
          <w:sz w:val="24"/>
        </w:rPr>
        <w:t>would</w:t>
      </w:r>
      <w:r>
        <w:rPr>
          <w:spacing w:val="14"/>
          <w:sz w:val="24"/>
        </w:rPr>
        <w:t> </w:t>
      </w:r>
      <w:r>
        <w:rPr>
          <w:sz w:val="24"/>
        </w:rPr>
        <w:t>be</w:t>
      </w:r>
      <w:r>
        <w:rPr>
          <w:spacing w:val="14"/>
          <w:sz w:val="24"/>
        </w:rPr>
        <w:t> </w:t>
      </w:r>
      <w:r>
        <w:rPr>
          <w:sz w:val="24"/>
        </w:rPr>
        <w:t>replaced</w:t>
      </w:r>
      <w:r>
        <w:rPr>
          <w:spacing w:val="14"/>
          <w:sz w:val="24"/>
        </w:rPr>
        <w:t> </w:t>
      </w:r>
      <w:r>
        <w:rPr>
          <w:sz w:val="24"/>
        </w:rPr>
        <w:t>every</w:t>
      </w:r>
      <w:r>
        <w:rPr>
          <w:spacing w:val="12"/>
          <w:sz w:val="24"/>
        </w:rPr>
        <w:t> </w:t>
      </w:r>
      <w:r>
        <w:rPr>
          <w:sz w:val="24"/>
        </w:rPr>
        <w:t>5</w:t>
      </w:r>
      <w:r>
        <w:rPr>
          <w:spacing w:val="19"/>
          <w:sz w:val="24"/>
        </w:rPr>
        <w:t> </w:t>
      </w:r>
      <w:r>
        <w:rPr>
          <w:sz w:val="24"/>
        </w:rPr>
        <w:t>years,</w:t>
      </w:r>
      <w:r>
        <w:rPr>
          <w:spacing w:val="14"/>
          <w:sz w:val="24"/>
        </w:rPr>
        <w:t> </w:t>
      </w:r>
      <w:r>
        <w:rPr>
          <w:sz w:val="24"/>
        </w:rPr>
        <w:t>the</w:t>
      </w:r>
      <w:r>
        <w:rPr>
          <w:spacing w:val="19"/>
          <w:sz w:val="24"/>
        </w:rPr>
        <w:t> </w:t>
      </w:r>
      <w:r>
        <w:rPr>
          <w:sz w:val="24"/>
        </w:rPr>
        <w:t>LED</w:t>
      </w:r>
      <w:r>
        <w:rPr>
          <w:spacing w:val="14"/>
          <w:sz w:val="24"/>
        </w:rPr>
        <w:t> </w:t>
      </w:r>
      <w:r>
        <w:rPr>
          <w:sz w:val="24"/>
        </w:rPr>
        <w:t>power</w:t>
      </w:r>
      <w:r>
        <w:rPr>
          <w:spacing w:val="16"/>
          <w:sz w:val="24"/>
        </w:rPr>
        <w:t> </w:t>
      </w:r>
      <w:r>
        <w:rPr>
          <w:sz w:val="24"/>
        </w:rPr>
        <w:t>module</w:t>
      </w:r>
      <w:r>
        <w:rPr>
          <w:spacing w:val="14"/>
          <w:sz w:val="24"/>
        </w:rPr>
        <w:t> </w:t>
      </w:r>
      <w:r>
        <w:rPr>
          <w:sz w:val="24"/>
        </w:rPr>
        <w:t>($150)</w:t>
      </w:r>
      <w:r>
        <w:rPr>
          <w:spacing w:val="16"/>
          <w:sz w:val="24"/>
        </w:rPr>
        <w:t> </w:t>
      </w:r>
      <w:r>
        <w:rPr>
          <w:sz w:val="24"/>
        </w:rPr>
        <w:t>would</w:t>
      </w:r>
      <w:r>
        <w:rPr>
          <w:spacing w:val="14"/>
          <w:sz w:val="24"/>
        </w:rPr>
        <w:t> </w:t>
      </w:r>
      <w:r>
        <w:rPr>
          <w:sz w:val="24"/>
        </w:rPr>
        <w:t>be</w:t>
      </w:r>
      <w:r>
        <w:rPr>
          <w:spacing w:val="13"/>
          <w:sz w:val="24"/>
        </w:rPr>
        <w:t> </w:t>
      </w:r>
      <w:r>
        <w:rPr>
          <w:sz w:val="24"/>
        </w:rPr>
        <w:t>replaced</w:t>
      </w:r>
      <w:r>
        <w:rPr>
          <w:spacing w:val="17"/>
          <w:sz w:val="24"/>
        </w:rPr>
        <w:t> </w:t>
      </w:r>
      <w:r>
        <w:rPr>
          <w:sz w:val="24"/>
        </w:rPr>
        <w:t>every</w:t>
      </w:r>
      <w:r>
        <w:rPr>
          <w:spacing w:val="10"/>
          <w:sz w:val="24"/>
        </w:rPr>
        <w:t> </w:t>
      </w:r>
      <w:r>
        <w:rPr>
          <w:sz w:val="24"/>
        </w:rPr>
        <w:t>5</w:t>
      </w:r>
    </w:p>
    <w:p>
      <w:pPr>
        <w:spacing w:after="0" w:line="235" w:lineRule="auto"/>
        <w:jc w:val="both"/>
        <w:rPr>
          <w:sz w:val="24"/>
        </w:rPr>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ind w:left="852"/>
      </w:pPr>
      <w:r>
        <w:rPr/>
        <w:t>years as well, and the LED optical module ($750) would need to be replaced every 20 years. They concluded that costs for HPS and LED were similar over a 20-year period, but that falling LED costs would soon make it the more economical option.</w:t>
      </w:r>
    </w:p>
    <w:p>
      <w:pPr>
        <w:pStyle w:val="ListParagraph"/>
        <w:numPr>
          <w:ilvl w:val="0"/>
          <w:numId w:val="41"/>
        </w:numPr>
        <w:tabs>
          <w:tab w:pos="853" w:val="left" w:leader="none"/>
        </w:tabs>
        <w:spacing w:line="237" w:lineRule="auto" w:before="141" w:after="0"/>
        <w:ind w:left="852" w:right="112" w:hanging="360"/>
        <w:jc w:val="both"/>
        <w:rPr>
          <w:sz w:val="24"/>
        </w:rPr>
      </w:pPr>
      <w:r>
        <w:rPr>
          <w:sz w:val="24"/>
        </w:rPr>
        <w:t>In Minnesota (City of Chanhassen) in 2012, simple payback periods of 8-12 years were estimated for converting from HID to LED lighting (</w:t>
      </w:r>
      <w:r>
        <w:rPr>
          <w:color w:val="0000FF"/>
          <w:sz w:val="24"/>
          <w:u w:val="single" w:color="0000FF"/>
        </w:rPr>
        <w:t>Swanson and Carlson, 2012</w:t>
      </w:r>
      <w:r>
        <w:rPr>
          <w:sz w:val="24"/>
        </w:rPr>
        <w:t>). Lifetimes of 6 years (21 000 hours) and 22 years (78 000 hours) were estimated for HID and LED lamps respectively (based on 3 550 hours’ operation per year). The authors found that the pricing for LED luminaire purchase varied significantly depending on the efficacy required, the size of the order and the length of the supply chain. For batches of 500 luminaires, the prices ranged from $250 to $1 325 per LED luminaire. A new HPS lamp was estimated to cost $11 and a new pole $800. To install a new HPS lamp or a new LED luminaire was estimated to cost $110 and the installation of a new pole $1 500. A 60 % saving in energy consumption was assumed for LED and total service costs of LED over 22 years were estimated at $220. Different discount rates of 2 %, 4 % and 8 % were applied, an electricity rate of $0.046/kWh was assumed and three different leasing rates were considered. In almost all cases, the LED option was cheaper than the HID option from an LCC perspective. The higher the discount rate, the less attractive the LED</w:t>
      </w:r>
      <w:r>
        <w:rPr>
          <w:spacing w:val="-26"/>
          <w:sz w:val="24"/>
        </w:rPr>
        <w:t> </w:t>
      </w:r>
      <w:r>
        <w:rPr>
          <w:sz w:val="24"/>
        </w:rPr>
        <w:t>option.</w:t>
      </w:r>
    </w:p>
    <w:p>
      <w:pPr>
        <w:pStyle w:val="ListParagraph"/>
        <w:numPr>
          <w:ilvl w:val="0"/>
          <w:numId w:val="41"/>
        </w:numPr>
        <w:tabs>
          <w:tab w:pos="853" w:val="left" w:leader="none"/>
        </w:tabs>
        <w:spacing w:line="235" w:lineRule="auto" w:before="144" w:after="0"/>
        <w:ind w:left="852" w:right="112" w:hanging="360"/>
        <w:jc w:val="both"/>
        <w:rPr>
          <w:sz w:val="24"/>
        </w:rPr>
      </w:pPr>
      <w:r>
        <w:rPr>
          <w:sz w:val="24"/>
        </w:rPr>
        <w:t>In Phoenix, the conversion of almost 95 000 HPS light points to LED was considered in 2013 (</w:t>
      </w:r>
      <w:r>
        <w:rPr>
          <w:color w:val="0000FF"/>
          <w:sz w:val="24"/>
          <w:u w:val="single" w:color="0000FF"/>
        </w:rPr>
        <w:t>Silsby, 2013</w:t>
      </w:r>
      <w:r>
        <w:rPr>
          <w:sz w:val="24"/>
        </w:rPr>
        <w:t>). Over a period of 10 years, they considered HPS and LED with the following characteristics: energy cost per light per year (HPS $72.36, LED $32.88); fixture cost (HPS $250, LED $475); fixture installation (HPS $29, LED $29); and lamp life (HPS 20 000 hours, LED 50 000 hours). In conclusion, they found that  LED was around 20 % cheaper over a period of 10 years. Applied to the City of Phoenix, this equated to around $5 million per year once the whole system was converted. For a $1 million investment in LED, a 9-year simple payback period was</w:t>
      </w:r>
      <w:r>
        <w:rPr>
          <w:spacing w:val="-4"/>
          <w:sz w:val="24"/>
        </w:rPr>
        <w:t> </w:t>
      </w:r>
      <w:r>
        <w:rPr>
          <w:sz w:val="24"/>
        </w:rPr>
        <w:t>calculated.</w:t>
      </w:r>
    </w:p>
    <w:p>
      <w:pPr>
        <w:pStyle w:val="BodyText"/>
        <w:spacing w:before="121"/>
        <w:ind w:left="132" w:right="112"/>
        <w:jc w:val="both"/>
      </w:pPr>
      <w:r>
        <w:rPr/>
        <w:t>Examples of a number of different procurement scenarios have been included in Technical Annex IV to the technical report accompanying these EU GPP criteria; the scenarios use the LCC calculator from the Swedish National Agency for Public Procurement. Readers who are interested in consulting more examples of LCC in road lighting procurement should consult the technical report for further</w:t>
      </w:r>
      <w:r>
        <w:rPr>
          <w:spacing w:val="-26"/>
        </w:rPr>
        <w:t> </w:t>
      </w:r>
      <w:r>
        <w:rPr/>
        <w:t>reading.</w:t>
      </w:r>
    </w:p>
    <w:p>
      <w:pPr>
        <w:spacing w:after="0"/>
        <w:jc w:val="both"/>
        <w:sectPr>
          <w:pgSz w:w="16840" w:h="11900" w:orient="landscape"/>
          <w:pgMar w:header="0" w:footer="1334" w:top="1100" w:bottom="1600" w:left="10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3"/>
        </w:numPr>
        <w:tabs>
          <w:tab w:pos="699" w:val="left" w:leader="none"/>
          <w:tab w:pos="700" w:val="left" w:leader="none"/>
        </w:tabs>
        <w:spacing w:line="240" w:lineRule="auto" w:before="246" w:after="0"/>
        <w:ind w:left="699" w:right="0" w:hanging="567"/>
        <w:jc w:val="left"/>
      </w:pPr>
      <w:bookmarkStart w:name="_TOC_250000" w:id="9"/>
      <w:r>
        <w:rPr/>
        <w:t>TECHNICAL</w:t>
      </w:r>
      <w:r>
        <w:rPr>
          <w:spacing w:val="-30"/>
        </w:rPr>
        <w:t> </w:t>
      </w:r>
      <w:r>
        <w:rPr/>
        <w:t>ANNEX</w:t>
      </w:r>
      <w:r>
        <w:rPr>
          <w:spacing w:val="-3"/>
        </w:rPr>
        <w:t> </w:t>
      </w:r>
      <w:r>
        <w:rPr/>
        <w:t>I:</w:t>
      </w:r>
      <w:r>
        <w:rPr>
          <w:spacing w:val="-1"/>
        </w:rPr>
        <w:t> </w:t>
      </w:r>
      <w:r>
        <w:rPr/>
        <w:t>PDI</w:t>
      </w:r>
      <w:r>
        <w:rPr>
          <w:spacing w:val="-14"/>
        </w:rPr>
        <w:t> </w:t>
      </w:r>
      <w:r>
        <w:rPr/>
        <w:t>AND</w:t>
      </w:r>
      <w:r>
        <w:rPr>
          <w:spacing w:val="-16"/>
        </w:rPr>
        <w:t> </w:t>
      </w:r>
      <w:r>
        <w:rPr/>
        <w:t>AECI REFERENCE</w:t>
      </w:r>
      <w:bookmarkEnd w:id="9"/>
      <w:r>
        <w:rPr>
          <w:spacing w:val="-7"/>
        </w:rPr>
        <w:t> VALUES</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58"/>
        <w:gridCol w:w="1133"/>
        <w:gridCol w:w="852"/>
        <w:gridCol w:w="850"/>
        <w:gridCol w:w="852"/>
        <w:gridCol w:w="850"/>
        <w:gridCol w:w="852"/>
        <w:gridCol w:w="850"/>
        <w:gridCol w:w="850"/>
        <w:gridCol w:w="850"/>
        <w:gridCol w:w="852"/>
        <w:gridCol w:w="850"/>
        <w:gridCol w:w="852"/>
        <w:gridCol w:w="850"/>
        <w:gridCol w:w="821"/>
      </w:tblGrid>
      <w:tr>
        <w:trPr>
          <w:trHeight w:val="268" w:hRule="atLeast"/>
        </w:trPr>
        <w:tc>
          <w:tcPr>
            <w:tcW w:w="2991" w:type="dxa"/>
            <w:gridSpan w:val="2"/>
            <w:vMerge w:val="restart"/>
            <w:shd w:val="clear" w:color="auto" w:fill="D9D9D9"/>
          </w:tcPr>
          <w:p>
            <w:pPr>
              <w:pStyle w:val="TableParagraph"/>
              <w:ind w:left="0"/>
              <w:rPr>
                <w:sz w:val="16"/>
              </w:rPr>
            </w:pPr>
          </w:p>
        </w:tc>
        <w:tc>
          <w:tcPr>
            <w:tcW w:w="852" w:type="dxa"/>
            <w:vMerge w:val="restart"/>
            <w:tcBorders>
              <w:bottom w:val="single" w:sz="4" w:space="0" w:color="000000"/>
            </w:tcBorders>
            <w:shd w:val="clear" w:color="auto" w:fill="D9D9D9"/>
          </w:tcPr>
          <w:p>
            <w:pPr>
              <w:pStyle w:val="TableParagraph"/>
              <w:spacing w:before="1"/>
              <w:ind w:left="0"/>
              <w:rPr>
                <w:b/>
                <w:sz w:val="23"/>
              </w:rPr>
            </w:pPr>
          </w:p>
          <w:p>
            <w:pPr>
              <w:pStyle w:val="TableParagraph"/>
              <w:ind w:left="226"/>
              <w:rPr>
                <w:rFonts w:ascii="Arial"/>
                <w:sz w:val="22"/>
              </w:rPr>
            </w:pPr>
            <w:r>
              <w:rPr>
                <w:rFonts w:ascii="Arial"/>
                <w:w w:val="95"/>
                <w:sz w:val="22"/>
              </w:rPr>
              <w:t>Year</w:t>
            </w:r>
          </w:p>
        </w:tc>
        <w:tc>
          <w:tcPr>
            <w:tcW w:w="10179" w:type="dxa"/>
            <w:gridSpan w:val="12"/>
            <w:shd w:val="clear" w:color="auto" w:fill="D9D9D9"/>
          </w:tcPr>
          <w:p>
            <w:pPr>
              <w:pStyle w:val="TableParagraph"/>
              <w:spacing w:line="248" w:lineRule="exact"/>
              <w:ind w:left="3296"/>
              <w:rPr>
                <w:rFonts w:ascii="Arial"/>
                <w:sz w:val="22"/>
              </w:rPr>
            </w:pPr>
            <w:r>
              <w:rPr>
                <w:rFonts w:ascii="Arial"/>
                <w:sz w:val="22"/>
              </w:rPr>
              <w:t>Ambition level and road width (to be lit)</w:t>
            </w:r>
          </w:p>
        </w:tc>
      </w:tr>
      <w:tr>
        <w:trPr>
          <w:trHeight w:val="510" w:hRule="atLeast"/>
        </w:trPr>
        <w:tc>
          <w:tcPr>
            <w:tcW w:w="2991" w:type="dxa"/>
            <w:gridSpan w:val="2"/>
            <w:vMerge/>
            <w:tcBorders>
              <w:top w:val="nil"/>
            </w:tcBorders>
            <w:shd w:val="clear" w:color="auto" w:fill="D9D9D9"/>
          </w:tcPr>
          <w:p>
            <w:pPr>
              <w:rPr>
                <w:sz w:val="2"/>
                <w:szCs w:val="2"/>
              </w:rPr>
            </w:pPr>
          </w:p>
        </w:tc>
        <w:tc>
          <w:tcPr>
            <w:tcW w:w="852" w:type="dxa"/>
            <w:vMerge/>
            <w:tcBorders>
              <w:top w:val="nil"/>
              <w:bottom w:val="single" w:sz="4" w:space="0" w:color="000000"/>
            </w:tcBorders>
            <w:shd w:val="clear" w:color="auto" w:fill="D9D9D9"/>
          </w:tcPr>
          <w:p>
            <w:pPr>
              <w:rPr>
                <w:sz w:val="2"/>
                <w:szCs w:val="2"/>
              </w:rPr>
            </w:pPr>
          </w:p>
        </w:tc>
        <w:tc>
          <w:tcPr>
            <w:tcW w:w="850" w:type="dxa"/>
            <w:tcBorders>
              <w:bottom w:val="single" w:sz="4" w:space="0" w:color="000000"/>
              <w:right w:val="nil"/>
            </w:tcBorders>
            <w:shd w:val="clear" w:color="auto" w:fill="D9D9D9"/>
          </w:tcPr>
          <w:p>
            <w:pPr>
              <w:pStyle w:val="TableParagraph"/>
              <w:spacing w:before="4"/>
              <w:ind w:left="231"/>
              <w:rPr>
                <w:rFonts w:ascii="Arial"/>
                <w:sz w:val="20"/>
              </w:rPr>
            </w:pPr>
            <w:r>
              <w:rPr>
                <w:rFonts w:ascii="Arial"/>
                <w:sz w:val="20"/>
              </w:rPr>
              <w:t>Core</w:t>
            </w:r>
          </w:p>
          <w:p>
            <w:pPr>
              <w:pStyle w:val="TableParagraph"/>
              <w:spacing w:line="222" w:lineRule="exact" w:before="34"/>
              <w:ind w:left="243"/>
              <w:rPr>
                <w:rFonts w:ascii="Arial" w:hAnsi="Arial"/>
                <w:sz w:val="20"/>
              </w:rPr>
            </w:pPr>
            <w:r>
              <w:rPr>
                <w:rFonts w:ascii="Arial" w:hAnsi="Arial"/>
                <w:sz w:val="20"/>
              </w:rPr>
              <w:t>≤5m</w:t>
            </w:r>
          </w:p>
        </w:tc>
        <w:tc>
          <w:tcPr>
            <w:tcW w:w="852" w:type="dxa"/>
            <w:tcBorders>
              <w:left w:val="nil"/>
              <w:bottom w:val="single" w:sz="4" w:space="0" w:color="000000"/>
            </w:tcBorders>
            <w:shd w:val="clear" w:color="auto" w:fill="D9D9D9"/>
          </w:tcPr>
          <w:p>
            <w:pPr>
              <w:pStyle w:val="TableParagraph"/>
              <w:spacing w:before="4"/>
              <w:ind w:left="198"/>
              <w:rPr>
                <w:rFonts w:ascii="Arial"/>
                <w:sz w:val="20"/>
              </w:rPr>
            </w:pPr>
            <w:r>
              <w:rPr>
                <w:rFonts w:ascii="Arial"/>
                <w:sz w:val="20"/>
              </w:rPr>
              <w:t>Comp</w:t>
            </w:r>
          </w:p>
          <w:p>
            <w:pPr>
              <w:pStyle w:val="TableParagraph"/>
              <w:spacing w:line="222" w:lineRule="exact" w:before="34"/>
              <w:ind w:left="255"/>
              <w:rPr>
                <w:rFonts w:ascii="Arial" w:hAnsi="Arial"/>
                <w:sz w:val="20"/>
              </w:rPr>
            </w:pPr>
            <w:r>
              <w:rPr>
                <w:rFonts w:ascii="Arial" w:hAnsi="Arial"/>
                <w:sz w:val="20"/>
              </w:rPr>
              <w:t>≤5m</w:t>
            </w:r>
          </w:p>
        </w:tc>
        <w:tc>
          <w:tcPr>
            <w:tcW w:w="850" w:type="dxa"/>
            <w:tcBorders>
              <w:bottom w:val="single" w:sz="4" w:space="0" w:color="000000"/>
              <w:right w:val="nil"/>
            </w:tcBorders>
            <w:shd w:val="clear" w:color="auto" w:fill="D9D9D9"/>
          </w:tcPr>
          <w:p>
            <w:pPr>
              <w:pStyle w:val="TableParagraph"/>
              <w:spacing w:before="4"/>
              <w:ind w:left="231"/>
              <w:rPr>
                <w:rFonts w:ascii="Arial"/>
                <w:sz w:val="20"/>
              </w:rPr>
            </w:pPr>
            <w:r>
              <w:rPr>
                <w:rFonts w:ascii="Arial"/>
                <w:sz w:val="20"/>
              </w:rPr>
              <w:t>Core</w:t>
            </w:r>
          </w:p>
          <w:p>
            <w:pPr>
              <w:pStyle w:val="TableParagraph"/>
              <w:spacing w:line="222" w:lineRule="exact" w:before="34"/>
              <w:ind w:left="209"/>
              <w:rPr>
                <w:rFonts w:ascii="Arial"/>
                <w:sz w:val="20"/>
              </w:rPr>
            </w:pPr>
            <w:r>
              <w:rPr>
                <w:rFonts w:ascii="Arial"/>
                <w:sz w:val="20"/>
              </w:rPr>
              <w:t>5-6m</w:t>
            </w:r>
          </w:p>
        </w:tc>
        <w:tc>
          <w:tcPr>
            <w:tcW w:w="852" w:type="dxa"/>
            <w:tcBorders>
              <w:left w:val="nil"/>
              <w:bottom w:val="single" w:sz="4" w:space="0" w:color="000000"/>
            </w:tcBorders>
            <w:shd w:val="clear" w:color="auto" w:fill="D9D9D9"/>
          </w:tcPr>
          <w:p>
            <w:pPr>
              <w:pStyle w:val="TableParagraph"/>
              <w:spacing w:before="4"/>
              <w:ind w:left="195"/>
              <w:rPr>
                <w:rFonts w:ascii="Arial"/>
                <w:sz w:val="20"/>
              </w:rPr>
            </w:pPr>
            <w:r>
              <w:rPr>
                <w:rFonts w:ascii="Arial"/>
                <w:sz w:val="20"/>
              </w:rPr>
              <w:t>Comp</w:t>
            </w:r>
          </w:p>
          <w:p>
            <w:pPr>
              <w:pStyle w:val="TableParagraph"/>
              <w:spacing w:line="222" w:lineRule="exact" w:before="34"/>
              <w:ind w:left="221"/>
              <w:rPr>
                <w:rFonts w:ascii="Arial"/>
                <w:sz w:val="20"/>
              </w:rPr>
            </w:pPr>
            <w:r>
              <w:rPr>
                <w:rFonts w:ascii="Arial"/>
                <w:sz w:val="20"/>
              </w:rPr>
              <w:t>5-6m</w:t>
            </w:r>
          </w:p>
        </w:tc>
        <w:tc>
          <w:tcPr>
            <w:tcW w:w="850" w:type="dxa"/>
            <w:tcBorders>
              <w:bottom w:val="single" w:sz="4" w:space="0" w:color="000000"/>
              <w:right w:val="nil"/>
            </w:tcBorders>
            <w:shd w:val="clear" w:color="auto" w:fill="D9D9D9"/>
          </w:tcPr>
          <w:p>
            <w:pPr>
              <w:pStyle w:val="TableParagraph"/>
              <w:spacing w:before="4"/>
              <w:ind w:left="230"/>
              <w:rPr>
                <w:rFonts w:ascii="Arial"/>
                <w:sz w:val="20"/>
              </w:rPr>
            </w:pPr>
            <w:r>
              <w:rPr>
                <w:rFonts w:ascii="Arial"/>
                <w:sz w:val="20"/>
              </w:rPr>
              <w:t>Core</w:t>
            </w:r>
          </w:p>
          <w:p>
            <w:pPr>
              <w:pStyle w:val="TableParagraph"/>
              <w:spacing w:line="222" w:lineRule="exact" w:before="34"/>
              <w:ind w:left="209"/>
              <w:rPr>
                <w:rFonts w:ascii="Arial"/>
                <w:sz w:val="20"/>
              </w:rPr>
            </w:pPr>
            <w:r>
              <w:rPr>
                <w:rFonts w:ascii="Arial"/>
                <w:sz w:val="20"/>
              </w:rPr>
              <w:t>6-7m</w:t>
            </w:r>
          </w:p>
        </w:tc>
        <w:tc>
          <w:tcPr>
            <w:tcW w:w="850" w:type="dxa"/>
            <w:tcBorders>
              <w:left w:val="nil"/>
              <w:bottom w:val="single" w:sz="4" w:space="0" w:color="000000"/>
            </w:tcBorders>
            <w:shd w:val="clear" w:color="auto" w:fill="D9D9D9"/>
          </w:tcPr>
          <w:p>
            <w:pPr>
              <w:pStyle w:val="TableParagraph"/>
              <w:spacing w:before="4"/>
              <w:ind w:left="194"/>
              <w:rPr>
                <w:rFonts w:ascii="Arial"/>
                <w:sz w:val="20"/>
              </w:rPr>
            </w:pPr>
            <w:r>
              <w:rPr>
                <w:rFonts w:ascii="Arial"/>
                <w:sz w:val="20"/>
              </w:rPr>
              <w:t>Comp</w:t>
            </w:r>
          </w:p>
          <w:p>
            <w:pPr>
              <w:pStyle w:val="TableParagraph"/>
              <w:spacing w:line="222" w:lineRule="exact" w:before="34"/>
              <w:ind w:left="221"/>
              <w:rPr>
                <w:rFonts w:ascii="Arial"/>
                <w:sz w:val="20"/>
              </w:rPr>
            </w:pPr>
            <w:r>
              <w:rPr>
                <w:rFonts w:ascii="Arial"/>
                <w:sz w:val="20"/>
              </w:rPr>
              <w:t>6-7m</w:t>
            </w:r>
          </w:p>
        </w:tc>
        <w:tc>
          <w:tcPr>
            <w:tcW w:w="850" w:type="dxa"/>
            <w:tcBorders>
              <w:bottom w:val="single" w:sz="4" w:space="0" w:color="000000"/>
              <w:right w:val="nil"/>
            </w:tcBorders>
            <w:shd w:val="clear" w:color="auto" w:fill="D9D9D9"/>
          </w:tcPr>
          <w:p>
            <w:pPr>
              <w:pStyle w:val="TableParagraph"/>
              <w:spacing w:before="4"/>
              <w:ind w:left="232"/>
              <w:rPr>
                <w:rFonts w:ascii="Arial"/>
                <w:sz w:val="20"/>
              </w:rPr>
            </w:pPr>
            <w:r>
              <w:rPr>
                <w:rFonts w:ascii="Arial"/>
                <w:sz w:val="20"/>
              </w:rPr>
              <w:t>Core</w:t>
            </w:r>
          </w:p>
          <w:p>
            <w:pPr>
              <w:pStyle w:val="TableParagraph"/>
              <w:spacing w:line="222" w:lineRule="exact" w:before="34"/>
              <w:ind w:left="210"/>
              <w:rPr>
                <w:rFonts w:ascii="Arial"/>
                <w:sz w:val="20"/>
              </w:rPr>
            </w:pPr>
            <w:r>
              <w:rPr>
                <w:rFonts w:ascii="Arial"/>
                <w:sz w:val="20"/>
              </w:rPr>
              <w:t>7-8m</w:t>
            </w:r>
          </w:p>
        </w:tc>
        <w:tc>
          <w:tcPr>
            <w:tcW w:w="852" w:type="dxa"/>
            <w:tcBorders>
              <w:left w:val="nil"/>
              <w:bottom w:val="single" w:sz="4" w:space="0" w:color="000000"/>
            </w:tcBorders>
            <w:shd w:val="clear" w:color="auto" w:fill="D9D9D9"/>
          </w:tcPr>
          <w:p>
            <w:pPr>
              <w:pStyle w:val="TableParagraph"/>
              <w:spacing w:before="4"/>
              <w:ind w:left="196"/>
              <w:rPr>
                <w:rFonts w:ascii="Arial"/>
                <w:sz w:val="20"/>
              </w:rPr>
            </w:pPr>
            <w:r>
              <w:rPr>
                <w:rFonts w:ascii="Arial"/>
                <w:sz w:val="20"/>
              </w:rPr>
              <w:t>Comp</w:t>
            </w:r>
          </w:p>
          <w:p>
            <w:pPr>
              <w:pStyle w:val="TableParagraph"/>
              <w:spacing w:line="222" w:lineRule="exact" w:before="34"/>
              <w:ind w:left="222"/>
              <w:rPr>
                <w:rFonts w:ascii="Arial"/>
                <w:sz w:val="20"/>
              </w:rPr>
            </w:pPr>
            <w:r>
              <w:rPr>
                <w:rFonts w:ascii="Arial"/>
                <w:sz w:val="20"/>
              </w:rPr>
              <w:t>7-8m</w:t>
            </w:r>
          </w:p>
        </w:tc>
        <w:tc>
          <w:tcPr>
            <w:tcW w:w="850" w:type="dxa"/>
            <w:tcBorders>
              <w:bottom w:val="single" w:sz="4" w:space="0" w:color="000000"/>
              <w:right w:val="nil"/>
            </w:tcBorders>
            <w:shd w:val="clear" w:color="auto" w:fill="D9D9D9"/>
          </w:tcPr>
          <w:p>
            <w:pPr>
              <w:pStyle w:val="TableParagraph"/>
              <w:spacing w:before="4"/>
              <w:ind w:left="229"/>
              <w:rPr>
                <w:rFonts w:ascii="Arial"/>
                <w:sz w:val="20"/>
              </w:rPr>
            </w:pPr>
            <w:r>
              <w:rPr>
                <w:rFonts w:ascii="Arial"/>
                <w:sz w:val="20"/>
              </w:rPr>
              <w:t>Core</w:t>
            </w:r>
          </w:p>
          <w:p>
            <w:pPr>
              <w:pStyle w:val="TableParagraph"/>
              <w:spacing w:line="222" w:lineRule="exact" w:before="34"/>
              <w:ind w:left="208"/>
              <w:rPr>
                <w:rFonts w:ascii="Arial"/>
                <w:sz w:val="20"/>
              </w:rPr>
            </w:pPr>
            <w:r>
              <w:rPr>
                <w:rFonts w:ascii="Arial"/>
                <w:sz w:val="20"/>
              </w:rPr>
              <w:t>8-9m</w:t>
            </w:r>
          </w:p>
        </w:tc>
        <w:tc>
          <w:tcPr>
            <w:tcW w:w="852" w:type="dxa"/>
            <w:tcBorders>
              <w:left w:val="nil"/>
              <w:bottom w:val="single" w:sz="4" w:space="0" w:color="000000"/>
            </w:tcBorders>
            <w:shd w:val="clear" w:color="auto" w:fill="D9D9D9"/>
          </w:tcPr>
          <w:p>
            <w:pPr>
              <w:pStyle w:val="TableParagraph"/>
              <w:spacing w:before="4"/>
              <w:ind w:left="196"/>
              <w:rPr>
                <w:rFonts w:ascii="Arial"/>
                <w:sz w:val="20"/>
              </w:rPr>
            </w:pPr>
            <w:r>
              <w:rPr>
                <w:rFonts w:ascii="Arial"/>
                <w:sz w:val="20"/>
              </w:rPr>
              <w:t>Comp</w:t>
            </w:r>
          </w:p>
          <w:p>
            <w:pPr>
              <w:pStyle w:val="TableParagraph"/>
              <w:spacing w:line="222" w:lineRule="exact" w:before="34"/>
              <w:ind w:left="222"/>
              <w:rPr>
                <w:rFonts w:ascii="Arial"/>
                <w:sz w:val="20"/>
              </w:rPr>
            </w:pPr>
            <w:r>
              <w:rPr>
                <w:rFonts w:ascii="Arial"/>
                <w:sz w:val="20"/>
              </w:rPr>
              <w:t>8-9m</w:t>
            </w:r>
          </w:p>
        </w:tc>
        <w:tc>
          <w:tcPr>
            <w:tcW w:w="850" w:type="dxa"/>
            <w:tcBorders>
              <w:bottom w:val="single" w:sz="4" w:space="0" w:color="000000"/>
              <w:right w:val="nil"/>
            </w:tcBorders>
            <w:shd w:val="clear" w:color="auto" w:fill="D9D9D9"/>
          </w:tcPr>
          <w:p>
            <w:pPr>
              <w:pStyle w:val="TableParagraph"/>
              <w:spacing w:before="4"/>
              <w:ind w:left="229"/>
              <w:rPr>
                <w:rFonts w:ascii="Arial"/>
                <w:sz w:val="20"/>
              </w:rPr>
            </w:pPr>
            <w:r>
              <w:rPr>
                <w:rFonts w:ascii="Arial"/>
                <w:sz w:val="20"/>
              </w:rPr>
              <w:t>Core</w:t>
            </w:r>
          </w:p>
          <w:p>
            <w:pPr>
              <w:pStyle w:val="TableParagraph"/>
              <w:spacing w:line="222" w:lineRule="exact" w:before="34"/>
              <w:ind w:left="241"/>
              <w:rPr>
                <w:rFonts w:ascii="Arial" w:hAnsi="Arial"/>
                <w:sz w:val="20"/>
              </w:rPr>
            </w:pPr>
            <w:r>
              <w:rPr>
                <w:rFonts w:ascii="Arial" w:hAnsi="Arial"/>
                <w:sz w:val="20"/>
              </w:rPr>
              <w:t>≥9m</w:t>
            </w:r>
          </w:p>
        </w:tc>
        <w:tc>
          <w:tcPr>
            <w:tcW w:w="821" w:type="dxa"/>
            <w:tcBorders>
              <w:left w:val="nil"/>
              <w:bottom w:val="single" w:sz="4" w:space="0" w:color="000000"/>
            </w:tcBorders>
            <w:shd w:val="clear" w:color="auto" w:fill="D9D9D9"/>
          </w:tcPr>
          <w:p>
            <w:pPr>
              <w:pStyle w:val="TableParagraph"/>
              <w:spacing w:before="4"/>
              <w:ind w:left="178"/>
              <w:rPr>
                <w:rFonts w:ascii="Arial"/>
                <w:sz w:val="20"/>
              </w:rPr>
            </w:pPr>
            <w:r>
              <w:rPr>
                <w:rFonts w:ascii="Arial"/>
                <w:sz w:val="20"/>
              </w:rPr>
              <w:t>Comp</w:t>
            </w:r>
          </w:p>
          <w:p>
            <w:pPr>
              <w:pStyle w:val="TableParagraph"/>
              <w:spacing w:line="222" w:lineRule="exact" w:before="34"/>
              <w:ind w:left="236"/>
              <w:rPr>
                <w:rFonts w:ascii="Arial" w:hAnsi="Arial"/>
                <w:sz w:val="20"/>
              </w:rPr>
            </w:pPr>
            <w:r>
              <w:rPr>
                <w:rFonts w:ascii="Arial" w:hAnsi="Arial"/>
                <w:sz w:val="20"/>
              </w:rPr>
              <w:t>≥9m</w:t>
            </w:r>
          </w:p>
        </w:tc>
      </w:tr>
      <w:tr>
        <w:trPr>
          <w:trHeight w:val="188" w:hRule="atLeast"/>
        </w:trPr>
        <w:tc>
          <w:tcPr>
            <w:tcW w:w="2991" w:type="dxa"/>
            <w:gridSpan w:val="2"/>
            <w:vMerge w:val="restart"/>
            <w:tcBorders>
              <w:right w:val="single" w:sz="4" w:space="0" w:color="000000"/>
            </w:tcBorders>
          </w:tcPr>
          <w:p>
            <w:pPr>
              <w:pStyle w:val="TableParagraph"/>
              <w:spacing w:line="254" w:lineRule="auto" w:before="1"/>
              <w:ind w:left="720" w:right="706"/>
              <w:jc w:val="center"/>
              <w:rPr>
                <w:rFonts w:ascii="Arial"/>
                <w:sz w:val="18"/>
              </w:rPr>
            </w:pPr>
            <w:r>
              <w:rPr>
                <w:rFonts w:ascii="Arial"/>
                <w:w w:val="90"/>
                <w:sz w:val="18"/>
              </w:rPr>
              <w:t>PDI reference values </w:t>
            </w:r>
            <w:r>
              <w:rPr>
                <w:rFonts w:ascii="Arial"/>
                <w:sz w:val="18"/>
              </w:rPr>
              <w:t>W.lx</w:t>
            </w:r>
            <w:r>
              <w:rPr>
                <w:rFonts w:ascii="Arial"/>
                <w:sz w:val="18"/>
                <w:vertAlign w:val="superscript"/>
              </w:rPr>
              <w:t>-1</w:t>
            </w:r>
            <w:r>
              <w:rPr>
                <w:rFonts w:ascii="Arial"/>
                <w:sz w:val="18"/>
                <w:vertAlign w:val="baseline"/>
              </w:rPr>
              <w:t>.m</w:t>
            </w:r>
            <w:r>
              <w:rPr>
                <w:rFonts w:ascii="Arial"/>
                <w:sz w:val="18"/>
                <w:vertAlign w:val="superscript"/>
              </w:rPr>
              <w:t>-2</w:t>
            </w:r>
          </w:p>
          <w:p>
            <w:pPr>
              <w:pStyle w:val="TableParagraph"/>
              <w:spacing w:line="196" w:lineRule="exact"/>
              <w:ind w:left="100" w:right="90"/>
              <w:jc w:val="center"/>
              <w:rPr>
                <w:rFonts w:ascii="Arial"/>
                <w:sz w:val="18"/>
              </w:rPr>
            </w:pPr>
            <w:r>
              <w:rPr>
                <w:rFonts w:ascii="Arial"/>
                <w:sz w:val="18"/>
              </w:rPr>
              <w:t>=1 </w:t>
            </w:r>
            <w:r>
              <w:rPr>
                <w:rFonts w:ascii="Arial"/>
                <w:w w:val="110"/>
                <w:sz w:val="18"/>
              </w:rPr>
              <w:t>/ </w:t>
            </w:r>
            <w:r>
              <w:rPr>
                <w:rFonts w:ascii="Arial"/>
                <w:sz w:val="18"/>
              </w:rPr>
              <w:t>(lum. eff. x MF x utilance)</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119" w:right="94"/>
              <w:jc w:val="center"/>
              <w:rPr>
                <w:rFonts w:ascii="Arial"/>
                <w:sz w:val="16"/>
              </w:rPr>
            </w:pPr>
            <w:r>
              <w:rPr>
                <w:rFonts w:ascii="Arial"/>
                <w:sz w:val="16"/>
              </w:rPr>
              <w:t>2018-19</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07" w:right="187"/>
              <w:jc w:val="center"/>
              <w:rPr>
                <w:rFonts w:ascii="Arial"/>
                <w:sz w:val="16"/>
              </w:rPr>
            </w:pPr>
            <w:r>
              <w:rPr>
                <w:rFonts w:ascii="Arial"/>
                <w:sz w:val="16"/>
              </w:rPr>
              <w:t>0.023</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116" w:right="94"/>
              <w:jc w:val="center"/>
              <w:rPr>
                <w:rFonts w:ascii="Arial"/>
                <w:sz w:val="16"/>
              </w:rPr>
            </w:pPr>
            <w:r>
              <w:rPr>
                <w:rFonts w:ascii="Arial"/>
                <w:sz w:val="16"/>
              </w:rPr>
              <w:t>0.018</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07" w:right="187"/>
              <w:jc w:val="center"/>
              <w:rPr>
                <w:rFonts w:ascii="Arial"/>
                <w:sz w:val="16"/>
              </w:rPr>
            </w:pPr>
            <w:r>
              <w:rPr>
                <w:rFonts w:ascii="Arial"/>
                <w:sz w:val="16"/>
              </w:rPr>
              <w:t>0.020</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111" w:right="94"/>
              <w:jc w:val="center"/>
              <w:rPr>
                <w:rFonts w:ascii="Arial"/>
                <w:sz w:val="16"/>
              </w:rPr>
            </w:pPr>
            <w:r>
              <w:rPr>
                <w:rFonts w:ascii="Arial"/>
                <w:sz w:val="16"/>
              </w:rPr>
              <w:t>0.016</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07" w:right="188"/>
              <w:jc w:val="center"/>
              <w:rPr>
                <w:rFonts w:ascii="Arial"/>
                <w:sz w:val="16"/>
              </w:rPr>
            </w:pPr>
            <w:r>
              <w:rPr>
                <w:rFonts w:ascii="Arial"/>
                <w:sz w:val="16"/>
              </w:rPr>
              <w:t>0.018</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06" w:right="188"/>
              <w:jc w:val="center"/>
              <w:rPr>
                <w:rFonts w:ascii="Arial"/>
                <w:sz w:val="16"/>
              </w:rPr>
            </w:pPr>
            <w:r>
              <w:rPr>
                <w:rFonts w:ascii="Arial"/>
                <w:sz w:val="16"/>
              </w:rPr>
              <w:t>0.015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07" w:right="184"/>
              <w:jc w:val="center"/>
              <w:rPr>
                <w:rFonts w:ascii="Arial"/>
                <w:sz w:val="16"/>
              </w:rPr>
            </w:pPr>
            <w:r>
              <w:rPr>
                <w:rFonts w:ascii="Arial"/>
                <w:sz w:val="16"/>
              </w:rPr>
              <w:t>0.016</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114" w:right="94"/>
              <w:jc w:val="center"/>
              <w:rPr>
                <w:rFonts w:ascii="Arial"/>
                <w:sz w:val="16"/>
              </w:rPr>
            </w:pPr>
            <w:r>
              <w:rPr>
                <w:rFonts w:ascii="Arial"/>
                <w:sz w:val="16"/>
              </w:rPr>
              <w:t>0.013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05" w:right="188"/>
              <w:jc w:val="center"/>
              <w:rPr>
                <w:rFonts w:ascii="Arial"/>
                <w:sz w:val="16"/>
              </w:rPr>
            </w:pPr>
            <w:r>
              <w:rPr>
                <w:rFonts w:ascii="Arial"/>
                <w:sz w:val="16"/>
              </w:rPr>
              <w:t>0.014</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113" w:right="94"/>
              <w:jc w:val="center"/>
              <w:rPr>
                <w:rFonts w:ascii="Arial"/>
                <w:sz w:val="16"/>
              </w:rPr>
            </w:pPr>
            <w:r>
              <w:rPr>
                <w:rFonts w:ascii="Arial"/>
                <w:sz w:val="16"/>
              </w:rPr>
              <w:t>0.012</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05" w:right="188"/>
              <w:jc w:val="center"/>
              <w:rPr>
                <w:rFonts w:ascii="Arial"/>
                <w:sz w:val="16"/>
              </w:rPr>
            </w:pPr>
            <w:r>
              <w:rPr>
                <w:rFonts w:ascii="Arial"/>
                <w:sz w:val="16"/>
              </w:rPr>
              <w:t>0.014</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193" w:right="177"/>
              <w:jc w:val="center"/>
              <w:rPr>
                <w:rFonts w:ascii="Arial"/>
                <w:sz w:val="16"/>
              </w:rPr>
            </w:pPr>
            <w:r>
              <w:rPr>
                <w:rFonts w:ascii="Arial"/>
                <w:sz w:val="16"/>
              </w:rPr>
              <w:t>0.012</w:t>
            </w:r>
          </w:p>
        </w:tc>
      </w:tr>
      <w:tr>
        <w:trPr>
          <w:trHeight w:val="186" w:hRule="atLeast"/>
        </w:trPr>
        <w:tc>
          <w:tcPr>
            <w:tcW w:w="2991" w:type="dxa"/>
            <w:gridSpan w:val="2"/>
            <w:vMerge/>
            <w:tcBorders>
              <w:top w:val="nil"/>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9" w:right="94"/>
              <w:jc w:val="center"/>
              <w:rPr>
                <w:rFonts w:ascii="Arial"/>
                <w:sz w:val="16"/>
              </w:rPr>
            </w:pPr>
            <w:r>
              <w:rPr>
                <w:rFonts w:ascii="Arial"/>
                <w:sz w:val="16"/>
              </w:rPr>
              <w:t>2020-21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7"/>
              <w:jc w:val="center"/>
              <w:rPr>
                <w:rFonts w:ascii="Arial"/>
                <w:sz w:val="16"/>
              </w:rPr>
            </w:pPr>
            <w:r>
              <w:rPr>
                <w:rFonts w:ascii="Arial"/>
                <w:sz w:val="16"/>
              </w:rPr>
              <w:t>0.021</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6" w:right="94"/>
              <w:jc w:val="center"/>
              <w:rPr>
                <w:rFonts w:ascii="Arial"/>
                <w:sz w:val="16"/>
              </w:rPr>
            </w:pPr>
            <w:r>
              <w:rPr>
                <w:rFonts w:ascii="Arial"/>
                <w:sz w:val="16"/>
              </w:rPr>
              <w:t>0.016</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7"/>
              <w:jc w:val="center"/>
              <w:rPr>
                <w:rFonts w:ascii="Arial"/>
                <w:sz w:val="16"/>
              </w:rPr>
            </w:pPr>
            <w:r>
              <w:rPr>
                <w:rFonts w:ascii="Arial"/>
                <w:sz w:val="16"/>
              </w:rPr>
              <w:t>0.018</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1" w:right="94"/>
              <w:jc w:val="center"/>
              <w:rPr>
                <w:rFonts w:ascii="Arial"/>
                <w:sz w:val="16"/>
              </w:rPr>
            </w:pPr>
            <w:r>
              <w:rPr>
                <w:rFonts w:ascii="Arial"/>
                <w:sz w:val="16"/>
              </w:rPr>
              <w:t>0.015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8"/>
              <w:jc w:val="center"/>
              <w:rPr>
                <w:rFonts w:ascii="Arial"/>
                <w:sz w:val="16"/>
              </w:rPr>
            </w:pPr>
            <w:r>
              <w:rPr>
                <w:rFonts w:ascii="Arial"/>
                <w:sz w:val="16"/>
              </w:rPr>
              <w:t>0.015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6" w:right="188"/>
              <w:jc w:val="center"/>
              <w:rPr>
                <w:rFonts w:ascii="Arial"/>
                <w:sz w:val="16"/>
              </w:rPr>
            </w:pPr>
            <w:r>
              <w:rPr>
                <w:rFonts w:ascii="Arial"/>
                <w:sz w:val="16"/>
              </w:rPr>
              <w:t>0.013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4"/>
              <w:jc w:val="center"/>
              <w:rPr>
                <w:rFonts w:ascii="Arial"/>
                <w:sz w:val="16"/>
              </w:rPr>
            </w:pPr>
            <w:r>
              <w:rPr>
                <w:rFonts w:ascii="Arial"/>
                <w:sz w:val="16"/>
              </w:rPr>
              <w:t>0.014</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4" w:right="94"/>
              <w:jc w:val="center"/>
              <w:rPr>
                <w:rFonts w:ascii="Arial"/>
                <w:sz w:val="16"/>
              </w:rPr>
            </w:pPr>
            <w:r>
              <w:rPr>
                <w:rFonts w:ascii="Arial"/>
                <w:sz w:val="16"/>
              </w:rPr>
              <w:t>0.011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5" w:right="188"/>
              <w:jc w:val="center"/>
              <w:rPr>
                <w:rFonts w:ascii="Arial"/>
                <w:sz w:val="16"/>
              </w:rPr>
            </w:pPr>
            <w:r>
              <w:rPr>
                <w:rFonts w:ascii="Arial"/>
                <w:sz w:val="16"/>
              </w:rPr>
              <w:t>0.012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3" w:right="94"/>
              <w:jc w:val="center"/>
              <w:rPr>
                <w:rFonts w:ascii="Arial"/>
                <w:sz w:val="16"/>
              </w:rPr>
            </w:pPr>
            <w:r>
              <w:rPr>
                <w:rFonts w:ascii="Arial"/>
                <w:sz w:val="16"/>
              </w:rPr>
              <w:t>0.011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5" w:right="188"/>
              <w:jc w:val="center"/>
              <w:rPr>
                <w:rFonts w:ascii="Arial"/>
                <w:sz w:val="16"/>
              </w:rPr>
            </w:pPr>
            <w:r>
              <w:rPr>
                <w:rFonts w:ascii="Arial"/>
                <w:sz w:val="16"/>
              </w:rPr>
              <w:t>0.012</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93" w:right="177"/>
              <w:jc w:val="center"/>
              <w:rPr>
                <w:rFonts w:ascii="Arial"/>
                <w:sz w:val="16"/>
              </w:rPr>
            </w:pPr>
            <w:r>
              <w:rPr>
                <w:rFonts w:ascii="Arial"/>
                <w:sz w:val="16"/>
              </w:rPr>
              <w:t>0.011</w:t>
            </w:r>
          </w:p>
        </w:tc>
      </w:tr>
      <w:tr>
        <w:trPr>
          <w:trHeight w:val="241" w:hRule="atLeast"/>
        </w:trPr>
        <w:tc>
          <w:tcPr>
            <w:tcW w:w="2991" w:type="dxa"/>
            <w:gridSpan w:val="2"/>
            <w:vMerge/>
            <w:tcBorders>
              <w:top w:val="nil"/>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22"/>
              <w:ind w:left="119" w:right="94"/>
              <w:jc w:val="center"/>
              <w:rPr>
                <w:rFonts w:ascii="Arial"/>
                <w:sz w:val="16"/>
              </w:rPr>
            </w:pPr>
            <w:r>
              <w:rPr>
                <w:rFonts w:ascii="Arial"/>
                <w:sz w:val="16"/>
              </w:rPr>
              <w:t>2022-23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22"/>
              <w:ind w:left="207" w:right="187"/>
              <w:jc w:val="center"/>
              <w:rPr>
                <w:rFonts w:ascii="Arial"/>
                <w:sz w:val="16"/>
              </w:rPr>
            </w:pPr>
            <w:r>
              <w:rPr>
                <w:rFonts w:ascii="Arial"/>
                <w:sz w:val="16"/>
              </w:rPr>
              <w:t>0.018</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22"/>
              <w:ind w:left="116" w:right="94"/>
              <w:jc w:val="center"/>
              <w:rPr>
                <w:rFonts w:ascii="Arial"/>
                <w:sz w:val="16"/>
              </w:rPr>
            </w:pPr>
            <w:r>
              <w:rPr>
                <w:rFonts w:ascii="Arial"/>
                <w:sz w:val="16"/>
              </w:rPr>
              <w:t>0.014</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22"/>
              <w:ind w:left="207" w:right="188"/>
              <w:jc w:val="center"/>
              <w:rPr>
                <w:rFonts w:ascii="Arial"/>
                <w:sz w:val="16"/>
              </w:rPr>
            </w:pPr>
            <w:r>
              <w:rPr>
                <w:rFonts w:ascii="Arial"/>
                <w:sz w:val="16"/>
              </w:rPr>
              <w:t>0.016</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22"/>
              <w:ind w:left="111" w:right="94"/>
              <w:jc w:val="center"/>
              <w:rPr>
                <w:rFonts w:ascii="Arial"/>
                <w:sz w:val="16"/>
              </w:rPr>
            </w:pPr>
            <w:r>
              <w:rPr>
                <w:rFonts w:ascii="Arial"/>
                <w:sz w:val="16"/>
              </w:rPr>
              <w:t>0.013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22"/>
              <w:ind w:left="207" w:right="188"/>
              <w:jc w:val="center"/>
              <w:rPr>
                <w:rFonts w:ascii="Arial"/>
                <w:sz w:val="16"/>
              </w:rPr>
            </w:pPr>
            <w:r>
              <w:rPr>
                <w:rFonts w:ascii="Arial"/>
                <w:sz w:val="16"/>
              </w:rPr>
              <w:t>0.014</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22"/>
              <w:ind w:left="206" w:right="188"/>
              <w:jc w:val="center"/>
              <w:rPr>
                <w:rFonts w:ascii="Arial"/>
                <w:sz w:val="16"/>
              </w:rPr>
            </w:pPr>
            <w:r>
              <w:rPr>
                <w:rFonts w:ascii="Arial"/>
                <w:sz w:val="16"/>
              </w:rPr>
              <w:t>0.012</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22"/>
              <w:ind w:left="207" w:right="185"/>
              <w:jc w:val="center"/>
              <w:rPr>
                <w:rFonts w:ascii="Arial"/>
                <w:sz w:val="16"/>
              </w:rPr>
            </w:pPr>
            <w:r>
              <w:rPr>
                <w:rFonts w:ascii="Arial"/>
                <w:sz w:val="16"/>
              </w:rPr>
              <w:t>0.012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22"/>
              <w:ind w:left="114" w:right="94"/>
              <w:jc w:val="center"/>
              <w:rPr>
                <w:rFonts w:ascii="Arial"/>
                <w:sz w:val="16"/>
              </w:rPr>
            </w:pPr>
            <w:r>
              <w:rPr>
                <w:rFonts w:ascii="Arial"/>
                <w:sz w:val="16"/>
              </w:rPr>
              <w:t>0.010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22"/>
              <w:ind w:left="205" w:right="188"/>
              <w:jc w:val="center"/>
              <w:rPr>
                <w:rFonts w:ascii="Arial"/>
                <w:sz w:val="16"/>
              </w:rPr>
            </w:pPr>
            <w:r>
              <w:rPr>
                <w:rFonts w:ascii="Arial"/>
                <w:sz w:val="16"/>
              </w:rPr>
              <w:t>0.011</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22"/>
              <w:ind w:left="113" w:right="94"/>
              <w:jc w:val="center"/>
              <w:rPr>
                <w:rFonts w:ascii="Arial"/>
                <w:sz w:val="16"/>
              </w:rPr>
            </w:pPr>
            <w:r>
              <w:rPr>
                <w:rFonts w:ascii="Arial"/>
                <w:sz w:val="16"/>
              </w:rPr>
              <w:t>0.010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22"/>
              <w:ind w:left="204" w:right="188"/>
              <w:jc w:val="center"/>
              <w:rPr>
                <w:rFonts w:ascii="Arial"/>
                <w:sz w:val="16"/>
              </w:rPr>
            </w:pPr>
            <w:r>
              <w:rPr>
                <w:rFonts w:ascii="Arial"/>
                <w:sz w:val="16"/>
              </w:rPr>
              <w:t>0.011</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before="22"/>
              <w:ind w:left="193" w:right="177"/>
              <w:jc w:val="center"/>
              <w:rPr>
                <w:rFonts w:ascii="Arial"/>
                <w:sz w:val="16"/>
              </w:rPr>
            </w:pPr>
            <w:r>
              <w:rPr>
                <w:rFonts w:ascii="Arial"/>
                <w:sz w:val="16"/>
              </w:rPr>
              <w:t>0.010</w:t>
            </w:r>
          </w:p>
        </w:tc>
      </w:tr>
      <w:tr>
        <w:trPr>
          <w:trHeight w:val="330" w:hRule="atLeast"/>
        </w:trPr>
        <w:tc>
          <w:tcPr>
            <w:tcW w:w="2991" w:type="dxa"/>
            <w:gridSpan w:val="2"/>
            <w:vMerge w:val="restart"/>
            <w:tcBorders>
              <w:right w:val="single" w:sz="4" w:space="0" w:color="000000"/>
            </w:tcBorders>
          </w:tcPr>
          <w:p>
            <w:pPr>
              <w:pStyle w:val="TableParagraph"/>
              <w:spacing w:line="254" w:lineRule="auto" w:before="3"/>
              <w:ind w:left="809" w:right="791"/>
              <w:jc w:val="center"/>
              <w:rPr>
                <w:rFonts w:ascii="Arial" w:hAnsi="Arial"/>
                <w:sz w:val="18"/>
              </w:rPr>
            </w:pPr>
            <w:r>
              <w:rPr>
                <w:rFonts w:ascii="Arial" w:hAnsi="Arial"/>
                <w:w w:val="90"/>
                <w:sz w:val="18"/>
              </w:rPr>
              <w:t>AECI ‘base values’ </w:t>
            </w:r>
            <w:r>
              <w:rPr>
                <w:rFonts w:ascii="Arial" w:hAnsi="Arial"/>
                <w:w w:val="95"/>
                <w:sz w:val="18"/>
              </w:rPr>
              <w:t>kWh.m</w:t>
            </w:r>
            <w:r>
              <w:rPr>
                <w:rFonts w:ascii="Arial" w:hAnsi="Arial"/>
                <w:w w:val="95"/>
                <w:sz w:val="18"/>
                <w:vertAlign w:val="superscript"/>
              </w:rPr>
              <w:t>-2</w:t>
            </w:r>
            <w:r>
              <w:rPr>
                <w:rFonts w:ascii="Arial" w:hAnsi="Arial"/>
                <w:w w:val="95"/>
                <w:sz w:val="18"/>
                <w:vertAlign w:val="baseline"/>
              </w:rPr>
              <w:t>.yr</w:t>
            </w:r>
            <w:r>
              <w:rPr>
                <w:rFonts w:ascii="Arial" w:hAnsi="Arial"/>
                <w:w w:val="95"/>
                <w:sz w:val="18"/>
                <w:vertAlign w:val="superscript"/>
              </w:rPr>
              <w:t>-1</w:t>
            </w:r>
            <w:r>
              <w:rPr>
                <w:rFonts w:ascii="Arial" w:hAnsi="Arial"/>
                <w:w w:val="95"/>
                <w:sz w:val="18"/>
                <w:vertAlign w:val="baseline"/>
              </w:rPr>
              <w:t>.lx</w:t>
            </w:r>
            <w:r>
              <w:rPr>
                <w:rFonts w:ascii="Arial" w:hAnsi="Arial"/>
                <w:w w:val="95"/>
                <w:sz w:val="18"/>
                <w:vertAlign w:val="superscript"/>
              </w:rPr>
              <w:t>-1</w:t>
            </w:r>
          </w:p>
          <w:p>
            <w:pPr>
              <w:pStyle w:val="TableParagraph"/>
              <w:spacing w:line="254" w:lineRule="auto" w:before="1"/>
              <w:ind w:left="107" w:right="90"/>
              <w:jc w:val="center"/>
              <w:rPr>
                <w:rFonts w:ascii="Arial"/>
                <w:sz w:val="18"/>
              </w:rPr>
            </w:pPr>
            <w:r>
              <w:rPr>
                <w:rFonts w:ascii="Arial"/>
                <w:w w:val="95"/>
                <w:sz w:val="18"/>
              </w:rPr>
              <w:t>(basically</w:t>
            </w:r>
            <w:r>
              <w:rPr>
                <w:rFonts w:ascii="Arial"/>
                <w:spacing w:val="-26"/>
                <w:w w:val="95"/>
                <w:sz w:val="18"/>
              </w:rPr>
              <w:t> </w:t>
            </w:r>
            <w:r>
              <w:rPr>
                <w:rFonts w:ascii="Arial"/>
                <w:w w:val="95"/>
                <w:sz w:val="18"/>
              </w:rPr>
              <w:t>PDI</w:t>
            </w:r>
            <w:r>
              <w:rPr>
                <w:rFonts w:ascii="Arial"/>
                <w:spacing w:val="-25"/>
                <w:w w:val="95"/>
                <w:sz w:val="18"/>
              </w:rPr>
              <w:t> </w:t>
            </w:r>
            <w:r>
              <w:rPr>
                <w:rFonts w:ascii="Arial"/>
                <w:w w:val="95"/>
                <w:sz w:val="18"/>
              </w:rPr>
              <w:t>x</w:t>
            </w:r>
            <w:r>
              <w:rPr>
                <w:rFonts w:ascii="Arial"/>
                <w:spacing w:val="-26"/>
                <w:w w:val="95"/>
                <w:sz w:val="18"/>
              </w:rPr>
              <w:t> </w:t>
            </w:r>
            <w:r>
              <w:rPr>
                <w:rFonts w:ascii="Arial"/>
                <w:w w:val="95"/>
                <w:sz w:val="18"/>
              </w:rPr>
              <w:t>0.001kW/W</w:t>
            </w:r>
            <w:r>
              <w:rPr>
                <w:rFonts w:ascii="Arial"/>
                <w:spacing w:val="-25"/>
                <w:w w:val="95"/>
                <w:sz w:val="18"/>
              </w:rPr>
              <w:t> </w:t>
            </w:r>
            <w:r>
              <w:rPr>
                <w:rFonts w:ascii="Arial"/>
                <w:w w:val="95"/>
                <w:sz w:val="18"/>
              </w:rPr>
              <w:t>x</w:t>
            </w:r>
            <w:r>
              <w:rPr>
                <w:rFonts w:ascii="Arial"/>
                <w:spacing w:val="-26"/>
                <w:w w:val="95"/>
                <w:sz w:val="18"/>
              </w:rPr>
              <w:t> </w:t>
            </w:r>
            <w:r>
              <w:rPr>
                <w:rFonts w:ascii="Arial"/>
                <w:w w:val="95"/>
                <w:sz w:val="18"/>
              </w:rPr>
              <w:t>4015h/y </w:t>
            </w:r>
            <w:r>
              <w:rPr>
                <w:rFonts w:ascii="Arial"/>
                <w:sz w:val="18"/>
              </w:rPr>
              <w:t>and</w:t>
            </w:r>
            <w:r>
              <w:rPr>
                <w:rFonts w:ascii="Arial"/>
                <w:spacing w:val="-28"/>
                <w:sz w:val="18"/>
              </w:rPr>
              <w:t> </w:t>
            </w:r>
            <w:r>
              <w:rPr>
                <w:rFonts w:ascii="Arial"/>
                <w:sz w:val="18"/>
              </w:rPr>
              <w:t>x</w:t>
            </w:r>
            <w:r>
              <w:rPr>
                <w:rFonts w:ascii="Arial"/>
                <w:spacing w:val="-28"/>
                <w:sz w:val="18"/>
              </w:rPr>
              <w:t> </w:t>
            </w:r>
            <w:r>
              <w:rPr>
                <w:rFonts w:ascii="Arial"/>
                <w:sz w:val="18"/>
              </w:rPr>
              <w:t>1.00</w:t>
            </w:r>
            <w:r>
              <w:rPr>
                <w:rFonts w:ascii="Arial"/>
                <w:spacing w:val="-26"/>
                <w:sz w:val="18"/>
              </w:rPr>
              <w:t> </w:t>
            </w:r>
            <w:r>
              <w:rPr>
                <w:rFonts w:ascii="Arial"/>
                <w:sz w:val="18"/>
              </w:rPr>
              <w:t>(core)</w:t>
            </w:r>
            <w:r>
              <w:rPr>
                <w:rFonts w:ascii="Arial"/>
                <w:spacing w:val="-27"/>
                <w:sz w:val="18"/>
              </w:rPr>
              <w:t> </w:t>
            </w:r>
            <w:r>
              <w:rPr>
                <w:rFonts w:ascii="Arial"/>
                <w:sz w:val="18"/>
              </w:rPr>
              <w:t>or</w:t>
            </w:r>
            <w:r>
              <w:rPr>
                <w:rFonts w:ascii="Arial"/>
                <w:spacing w:val="-27"/>
                <w:sz w:val="18"/>
              </w:rPr>
              <w:t> </w:t>
            </w:r>
            <w:r>
              <w:rPr>
                <w:rFonts w:ascii="Arial"/>
                <w:sz w:val="18"/>
              </w:rPr>
              <w:t>0.73</w:t>
            </w:r>
            <w:r>
              <w:rPr>
                <w:rFonts w:ascii="Arial"/>
                <w:spacing w:val="-26"/>
                <w:sz w:val="18"/>
              </w:rPr>
              <w:t> </w:t>
            </w:r>
            <w:r>
              <w:rPr>
                <w:rFonts w:ascii="Arial"/>
                <w:sz w:val="18"/>
              </w:rPr>
              <w:t>(comp.)</w:t>
            </w:r>
          </w:p>
          <w:p>
            <w:pPr>
              <w:pStyle w:val="TableParagraph"/>
              <w:spacing w:line="199" w:lineRule="exact"/>
              <w:ind w:left="720" w:right="706"/>
              <w:jc w:val="center"/>
              <w:rPr>
                <w:rFonts w:ascii="Arial"/>
                <w:sz w:val="18"/>
              </w:rPr>
            </w:pPr>
            <w:r>
              <w:rPr>
                <w:rFonts w:ascii="Arial"/>
                <w:sz w:val="18"/>
              </w:rPr>
              <w:t>dimming factor)</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72"/>
              <w:ind w:left="119" w:right="94"/>
              <w:jc w:val="center"/>
              <w:rPr>
                <w:rFonts w:ascii="Arial"/>
                <w:sz w:val="16"/>
              </w:rPr>
            </w:pPr>
            <w:r>
              <w:rPr>
                <w:rFonts w:ascii="Arial"/>
                <w:sz w:val="16"/>
              </w:rPr>
              <w:t>2018-19</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72"/>
              <w:ind w:left="207" w:right="187"/>
              <w:jc w:val="center"/>
              <w:rPr>
                <w:rFonts w:ascii="Arial"/>
                <w:sz w:val="16"/>
              </w:rPr>
            </w:pPr>
            <w:r>
              <w:rPr>
                <w:rFonts w:ascii="Arial"/>
                <w:sz w:val="16"/>
              </w:rPr>
              <w:t>0.094</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72"/>
              <w:ind w:left="116" w:right="94"/>
              <w:jc w:val="center"/>
              <w:rPr>
                <w:rFonts w:ascii="Arial"/>
                <w:sz w:val="16"/>
              </w:rPr>
            </w:pPr>
            <w:r>
              <w:rPr>
                <w:rFonts w:ascii="Arial"/>
                <w:sz w:val="16"/>
              </w:rPr>
              <w:t>0.053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72"/>
              <w:ind w:left="207" w:right="188"/>
              <w:jc w:val="center"/>
              <w:rPr>
                <w:rFonts w:ascii="Arial"/>
                <w:sz w:val="16"/>
              </w:rPr>
            </w:pPr>
            <w:r>
              <w:rPr>
                <w:rFonts w:ascii="Arial"/>
                <w:sz w:val="16"/>
              </w:rPr>
              <w:t>0.081</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72"/>
              <w:ind w:left="111" w:right="94"/>
              <w:jc w:val="center"/>
              <w:rPr>
                <w:rFonts w:ascii="Arial"/>
                <w:sz w:val="16"/>
              </w:rPr>
            </w:pPr>
            <w:r>
              <w:rPr>
                <w:rFonts w:ascii="Arial"/>
                <w:sz w:val="16"/>
              </w:rPr>
              <w:t>0.048</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72"/>
              <w:ind w:left="207" w:right="188"/>
              <w:jc w:val="center"/>
              <w:rPr>
                <w:rFonts w:ascii="Arial"/>
                <w:sz w:val="16"/>
              </w:rPr>
            </w:pPr>
            <w:r>
              <w:rPr>
                <w:rFonts w:ascii="Arial"/>
                <w:sz w:val="16"/>
              </w:rPr>
              <w:t>0.071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72"/>
              <w:ind w:left="206" w:right="188"/>
              <w:jc w:val="center"/>
              <w:rPr>
                <w:rFonts w:ascii="Arial"/>
                <w:sz w:val="16"/>
              </w:rPr>
            </w:pPr>
            <w:r>
              <w:rPr>
                <w:rFonts w:ascii="Arial"/>
                <w:sz w:val="16"/>
              </w:rPr>
              <w:t>0.044</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72"/>
              <w:ind w:left="207" w:right="185"/>
              <w:jc w:val="center"/>
              <w:rPr>
                <w:rFonts w:ascii="Arial"/>
                <w:sz w:val="16"/>
              </w:rPr>
            </w:pPr>
            <w:r>
              <w:rPr>
                <w:rFonts w:ascii="Arial"/>
                <w:sz w:val="16"/>
              </w:rPr>
              <w:t>0.063</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72"/>
              <w:ind w:left="114" w:right="94"/>
              <w:jc w:val="center"/>
              <w:rPr>
                <w:rFonts w:ascii="Arial"/>
                <w:sz w:val="16"/>
              </w:rPr>
            </w:pPr>
            <w:r>
              <w:rPr>
                <w:rFonts w:ascii="Arial"/>
                <w:sz w:val="16"/>
              </w:rPr>
              <w:t>0.038</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72"/>
              <w:ind w:left="205" w:right="188"/>
              <w:jc w:val="center"/>
              <w:rPr>
                <w:rFonts w:ascii="Arial"/>
                <w:sz w:val="16"/>
              </w:rPr>
            </w:pPr>
            <w:r>
              <w:rPr>
                <w:rFonts w:ascii="Arial"/>
                <w:sz w:val="16"/>
              </w:rPr>
              <w:t>0.057</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72"/>
              <w:ind w:left="113" w:right="94"/>
              <w:jc w:val="center"/>
              <w:rPr>
                <w:rFonts w:ascii="Arial"/>
                <w:sz w:val="16"/>
              </w:rPr>
            </w:pPr>
            <w:r>
              <w:rPr>
                <w:rFonts w:ascii="Arial"/>
                <w:sz w:val="16"/>
              </w:rPr>
              <w:t>0.035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72"/>
              <w:ind w:left="204" w:right="188"/>
              <w:jc w:val="center"/>
              <w:rPr>
                <w:rFonts w:ascii="Arial"/>
                <w:sz w:val="16"/>
              </w:rPr>
            </w:pPr>
            <w:r>
              <w:rPr>
                <w:rFonts w:ascii="Arial"/>
                <w:sz w:val="16"/>
              </w:rPr>
              <w:t>0.057</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before="72"/>
              <w:ind w:left="193" w:right="177"/>
              <w:jc w:val="center"/>
              <w:rPr>
                <w:rFonts w:ascii="Arial"/>
                <w:sz w:val="16"/>
              </w:rPr>
            </w:pPr>
            <w:r>
              <w:rPr>
                <w:rFonts w:ascii="Arial"/>
                <w:sz w:val="16"/>
              </w:rPr>
              <w:t>0.035</w:t>
            </w:r>
          </w:p>
        </w:tc>
      </w:tr>
      <w:tr>
        <w:trPr>
          <w:trHeight w:val="373" w:hRule="atLeast"/>
        </w:trPr>
        <w:tc>
          <w:tcPr>
            <w:tcW w:w="2991" w:type="dxa"/>
            <w:gridSpan w:val="2"/>
            <w:vMerge/>
            <w:tcBorders>
              <w:top w:val="nil"/>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94"/>
              <w:ind w:left="119" w:right="94"/>
              <w:jc w:val="center"/>
              <w:rPr>
                <w:rFonts w:ascii="Arial"/>
                <w:sz w:val="16"/>
              </w:rPr>
            </w:pPr>
            <w:r>
              <w:rPr>
                <w:rFonts w:ascii="Arial"/>
                <w:sz w:val="16"/>
              </w:rPr>
              <w:t>2020-21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94"/>
              <w:ind w:left="207" w:right="187"/>
              <w:jc w:val="center"/>
              <w:rPr>
                <w:rFonts w:ascii="Arial"/>
                <w:sz w:val="16"/>
              </w:rPr>
            </w:pPr>
            <w:r>
              <w:rPr>
                <w:rFonts w:ascii="Arial"/>
                <w:sz w:val="16"/>
              </w:rPr>
              <w:t>0.083</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94"/>
              <w:ind w:left="116" w:right="94"/>
              <w:jc w:val="center"/>
              <w:rPr>
                <w:rFonts w:ascii="Arial"/>
                <w:sz w:val="16"/>
              </w:rPr>
            </w:pPr>
            <w:r>
              <w:rPr>
                <w:rFonts w:ascii="Arial"/>
                <w:sz w:val="16"/>
              </w:rPr>
              <w:t>0.047</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94"/>
              <w:ind w:left="207" w:right="188"/>
              <w:jc w:val="center"/>
              <w:rPr>
                <w:rFonts w:ascii="Arial"/>
                <w:sz w:val="16"/>
              </w:rPr>
            </w:pPr>
            <w:r>
              <w:rPr>
                <w:rFonts w:ascii="Arial"/>
                <w:sz w:val="16"/>
              </w:rPr>
              <w:t>0.071</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94"/>
              <w:ind w:left="111" w:right="94"/>
              <w:jc w:val="center"/>
              <w:rPr>
                <w:rFonts w:ascii="Arial"/>
                <w:sz w:val="16"/>
              </w:rPr>
            </w:pPr>
            <w:r>
              <w:rPr>
                <w:rFonts w:ascii="Arial"/>
                <w:sz w:val="16"/>
              </w:rPr>
              <w:t>0.042</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94"/>
              <w:ind w:left="207" w:right="188"/>
              <w:jc w:val="center"/>
              <w:rPr>
                <w:rFonts w:ascii="Arial"/>
                <w:sz w:val="16"/>
              </w:rPr>
            </w:pPr>
            <w:r>
              <w:rPr>
                <w:rFonts w:ascii="Arial"/>
                <w:sz w:val="16"/>
              </w:rPr>
              <w:t>0.062</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94"/>
              <w:ind w:left="206" w:right="188"/>
              <w:jc w:val="center"/>
              <w:rPr>
                <w:rFonts w:ascii="Arial"/>
                <w:sz w:val="16"/>
              </w:rPr>
            </w:pPr>
            <w:r>
              <w:rPr>
                <w:rFonts w:ascii="Arial"/>
                <w:sz w:val="16"/>
              </w:rPr>
              <w:t>0.039</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94"/>
              <w:ind w:left="207" w:right="185"/>
              <w:jc w:val="center"/>
              <w:rPr>
                <w:rFonts w:ascii="Arial"/>
                <w:sz w:val="16"/>
              </w:rPr>
            </w:pPr>
            <w:r>
              <w:rPr>
                <w:rFonts w:ascii="Arial"/>
                <w:sz w:val="16"/>
              </w:rPr>
              <w:t>0.055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94"/>
              <w:ind w:left="114" w:right="94"/>
              <w:jc w:val="center"/>
              <w:rPr>
                <w:rFonts w:ascii="Arial"/>
                <w:sz w:val="16"/>
              </w:rPr>
            </w:pPr>
            <w:r>
              <w:rPr>
                <w:rFonts w:ascii="Arial"/>
                <w:sz w:val="16"/>
              </w:rPr>
              <w:t>0.033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94"/>
              <w:ind w:left="205" w:right="188"/>
              <w:jc w:val="center"/>
              <w:rPr>
                <w:rFonts w:ascii="Arial"/>
                <w:sz w:val="16"/>
              </w:rPr>
            </w:pPr>
            <w:r>
              <w:rPr>
                <w:rFonts w:ascii="Arial"/>
                <w:sz w:val="16"/>
              </w:rPr>
              <w:t>0.050</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94"/>
              <w:ind w:left="113" w:right="94"/>
              <w:jc w:val="center"/>
              <w:rPr>
                <w:rFonts w:ascii="Arial"/>
                <w:sz w:val="16"/>
              </w:rPr>
            </w:pPr>
            <w:r>
              <w:rPr>
                <w:rFonts w:ascii="Arial"/>
                <w:sz w:val="16"/>
              </w:rPr>
              <w:t>0.031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94"/>
              <w:ind w:left="204" w:right="188"/>
              <w:jc w:val="center"/>
              <w:rPr>
                <w:rFonts w:ascii="Arial"/>
                <w:sz w:val="16"/>
              </w:rPr>
            </w:pPr>
            <w:r>
              <w:rPr>
                <w:rFonts w:ascii="Arial"/>
                <w:sz w:val="16"/>
              </w:rPr>
              <w:t>0.050</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before="94"/>
              <w:ind w:left="193" w:right="177"/>
              <w:jc w:val="center"/>
              <w:rPr>
                <w:rFonts w:ascii="Arial"/>
                <w:sz w:val="16"/>
              </w:rPr>
            </w:pPr>
            <w:r>
              <w:rPr>
                <w:rFonts w:ascii="Arial"/>
                <w:sz w:val="16"/>
              </w:rPr>
              <w:t>0.031</w:t>
            </w:r>
          </w:p>
        </w:tc>
      </w:tr>
      <w:tr>
        <w:trPr>
          <w:trHeight w:val="356" w:hRule="atLeast"/>
        </w:trPr>
        <w:tc>
          <w:tcPr>
            <w:tcW w:w="2991" w:type="dxa"/>
            <w:gridSpan w:val="2"/>
            <w:vMerge/>
            <w:tcBorders>
              <w:top w:val="nil"/>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84"/>
              <w:ind w:left="119" w:right="94"/>
              <w:jc w:val="center"/>
              <w:rPr>
                <w:rFonts w:ascii="Arial"/>
                <w:sz w:val="16"/>
              </w:rPr>
            </w:pPr>
            <w:r>
              <w:rPr>
                <w:rFonts w:ascii="Arial"/>
                <w:sz w:val="16"/>
              </w:rPr>
              <w:t>2022-23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84"/>
              <w:ind w:left="207" w:right="187"/>
              <w:jc w:val="center"/>
              <w:rPr>
                <w:rFonts w:ascii="Arial"/>
                <w:sz w:val="16"/>
              </w:rPr>
            </w:pPr>
            <w:r>
              <w:rPr>
                <w:rFonts w:ascii="Arial"/>
                <w:sz w:val="16"/>
              </w:rPr>
              <w:t>0.074</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84"/>
              <w:ind w:left="116" w:right="94"/>
              <w:jc w:val="center"/>
              <w:rPr>
                <w:rFonts w:ascii="Arial"/>
                <w:sz w:val="16"/>
              </w:rPr>
            </w:pPr>
            <w:r>
              <w:rPr>
                <w:rFonts w:ascii="Arial"/>
                <w:sz w:val="16"/>
              </w:rPr>
              <w:t>0.042</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84"/>
              <w:ind w:left="207" w:right="188"/>
              <w:jc w:val="center"/>
              <w:rPr>
                <w:rFonts w:ascii="Arial"/>
                <w:sz w:val="16"/>
              </w:rPr>
            </w:pPr>
            <w:r>
              <w:rPr>
                <w:rFonts w:ascii="Arial"/>
                <w:sz w:val="16"/>
              </w:rPr>
              <w:t>0.063</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84"/>
              <w:ind w:left="111" w:right="94"/>
              <w:jc w:val="center"/>
              <w:rPr>
                <w:rFonts w:ascii="Arial"/>
                <w:sz w:val="16"/>
              </w:rPr>
            </w:pPr>
            <w:r>
              <w:rPr>
                <w:rFonts w:ascii="Arial"/>
                <w:sz w:val="16"/>
              </w:rPr>
              <w:t>0.038</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84"/>
              <w:ind w:left="207" w:right="188"/>
              <w:jc w:val="center"/>
              <w:rPr>
                <w:rFonts w:ascii="Arial"/>
                <w:sz w:val="16"/>
              </w:rPr>
            </w:pPr>
            <w:r>
              <w:rPr>
                <w:rFonts w:ascii="Arial"/>
                <w:sz w:val="16"/>
              </w:rPr>
              <w:t>0.055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84"/>
              <w:ind w:left="206" w:right="188"/>
              <w:jc w:val="center"/>
              <w:rPr>
                <w:rFonts w:ascii="Arial"/>
                <w:sz w:val="16"/>
              </w:rPr>
            </w:pPr>
            <w:r>
              <w:rPr>
                <w:rFonts w:ascii="Arial"/>
                <w:sz w:val="16"/>
              </w:rPr>
              <w:t>0.035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84"/>
              <w:ind w:left="207" w:right="185"/>
              <w:jc w:val="center"/>
              <w:rPr>
                <w:rFonts w:ascii="Arial"/>
                <w:sz w:val="16"/>
              </w:rPr>
            </w:pPr>
            <w:r>
              <w:rPr>
                <w:rFonts w:ascii="Arial"/>
                <w:sz w:val="16"/>
              </w:rPr>
              <w:t>0.049</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84"/>
              <w:ind w:left="114" w:right="94"/>
              <w:jc w:val="center"/>
              <w:rPr>
                <w:rFonts w:ascii="Arial"/>
                <w:sz w:val="16"/>
              </w:rPr>
            </w:pPr>
            <w:r>
              <w:rPr>
                <w:rFonts w:ascii="Arial"/>
                <w:sz w:val="16"/>
              </w:rPr>
              <w:t>0.030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84"/>
              <w:ind w:left="205" w:right="188"/>
              <w:jc w:val="center"/>
              <w:rPr>
                <w:rFonts w:ascii="Arial"/>
                <w:sz w:val="16"/>
              </w:rPr>
            </w:pPr>
            <w:r>
              <w:rPr>
                <w:rFonts w:ascii="Arial"/>
                <w:sz w:val="16"/>
              </w:rPr>
              <w:t>0.044</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before="84"/>
              <w:ind w:left="113" w:right="94"/>
              <w:jc w:val="center"/>
              <w:rPr>
                <w:rFonts w:ascii="Arial"/>
                <w:sz w:val="16"/>
              </w:rPr>
            </w:pPr>
            <w:r>
              <w:rPr>
                <w:rFonts w:ascii="Arial"/>
                <w:sz w:val="16"/>
              </w:rPr>
              <w:t>0.028</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84"/>
              <w:ind w:left="204" w:right="188"/>
              <w:jc w:val="center"/>
              <w:rPr>
                <w:rFonts w:ascii="Arial"/>
                <w:sz w:val="16"/>
              </w:rPr>
            </w:pPr>
            <w:r>
              <w:rPr>
                <w:rFonts w:ascii="Arial"/>
                <w:sz w:val="16"/>
              </w:rPr>
              <w:t>0.044</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before="84"/>
              <w:ind w:left="193" w:right="177"/>
              <w:jc w:val="center"/>
              <w:rPr>
                <w:rFonts w:ascii="Arial"/>
                <w:sz w:val="16"/>
              </w:rPr>
            </w:pPr>
            <w:r>
              <w:rPr>
                <w:rFonts w:ascii="Arial"/>
                <w:sz w:val="16"/>
              </w:rPr>
              <w:t>0.028</w:t>
            </w:r>
          </w:p>
        </w:tc>
      </w:tr>
      <w:tr>
        <w:trPr>
          <w:trHeight w:val="188" w:hRule="atLeast"/>
        </w:trPr>
        <w:tc>
          <w:tcPr>
            <w:tcW w:w="1858" w:type="dxa"/>
            <w:vMerge w:val="restart"/>
            <w:tcBorders>
              <w:bottom w:val="nil"/>
            </w:tcBorders>
          </w:tcPr>
          <w:p>
            <w:pPr>
              <w:pStyle w:val="TableParagraph"/>
              <w:spacing w:line="220" w:lineRule="atLeast" w:before="156"/>
              <w:ind w:left="297" w:hanging="161"/>
              <w:rPr>
                <w:rFonts w:ascii="Arial"/>
                <w:sz w:val="18"/>
              </w:rPr>
            </w:pPr>
            <w:r>
              <w:rPr>
                <w:rFonts w:ascii="Arial"/>
                <w:w w:val="90"/>
                <w:sz w:val="18"/>
              </w:rPr>
              <w:t>Actual AECI reference </w:t>
            </w:r>
            <w:r>
              <w:rPr>
                <w:rFonts w:ascii="Arial"/>
                <w:sz w:val="18"/>
              </w:rPr>
              <w:t>values, which are</w:t>
            </w:r>
          </w:p>
        </w:tc>
        <w:tc>
          <w:tcPr>
            <w:tcW w:w="1133" w:type="dxa"/>
            <w:vMerge w:val="restart"/>
            <w:tcBorders>
              <w:right w:val="single" w:sz="4" w:space="0" w:color="000000"/>
            </w:tcBorders>
          </w:tcPr>
          <w:p>
            <w:pPr>
              <w:pStyle w:val="TableParagraph"/>
              <w:spacing w:before="85"/>
              <w:ind w:left="109"/>
              <w:rPr>
                <w:rFonts w:ascii="Arial"/>
                <w:sz w:val="18"/>
              </w:rPr>
            </w:pPr>
            <w:r>
              <w:rPr>
                <w:rFonts w:ascii="Arial"/>
                <w:w w:val="90"/>
                <w:sz w:val="18"/>
              </w:rPr>
              <w:t>C0*, C1*,</w:t>
            </w:r>
            <w:r>
              <w:rPr>
                <w:rFonts w:ascii="Arial"/>
                <w:spacing w:val="-25"/>
                <w:w w:val="90"/>
                <w:sz w:val="18"/>
              </w:rPr>
              <w:t> </w:t>
            </w:r>
            <w:r>
              <w:rPr>
                <w:rFonts w:ascii="Arial"/>
                <w:w w:val="90"/>
                <w:sz w:val="18"/>
              </w:rPr>
              <w:t>C2</w:t>
            </w:r>
          </w:p>
          <w:p>
            <w:pPr>
              <w:pStyle w:val="TableParagraph"/>
              <w:spacing w:before="11"/>
              <w:ind w:left="121"/>
              <w:rPr>
                <w:rFonts w:ascii="Arial"/>
                <w:sz w:val="18"/>
              </w:rPr>
            </w:pPr>
            <w:r>
              <w:rPr>
                <w:rFonts w:ascii="Arial"/>
                <w:w w:val="95"/>
                <w:sz w:val="18"/>
              </w:rPr>
              <w:t>(avg.</w:t>
            </w:r>
            <w:r>
              <w:rPr>
                <w:rFonts w:ascii="Arial"/>
                <w:spacing w:val="-34"/>
                <w:w w:val="95"/>
                <w:sz w:val="18"/>
              </w:rPr>
              <w:t> </w:t>
            </w:r>
            <w:r>
              <w:rPr>
                <w:rFonts w:ascii="Arial"/>
                <w:w w:val="95"/>
                <w:sz w:val="18"/>
              </w:rPr>
              <w:t>20</w:t>
            </w:r>
            <w:r>
              <w:rPr>
                <w:rFonts w:ascii="Arial"/>
                <w:spacing w:val="-33"/>
                <w:w w:val="95"/>
                <w:sz w:val="18"/>
              </w:rPr>
              <w:t> </w:t>
            </w:r>
            <w:r>
              <w:rPr>
                <w:rFonts w:ascii="Arial"/>
                <w:w w:val="95"/>
                <w:sz w:val="18"/>
              </w:rPr>
              <w:t>lux)</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119" w:right="94"/>
              <w:jc w:val="center"/>
              <w:rPr>
                <w:rFonts w:ascii="Arial"/>
                <w:sz w:val="16"/>
              </w:rPr>
            </w:pPr>
            <w:r>
              <w:rPr>
                <w:rFonts w:ascii="Arial"/>
                <w:sz w:val="16"/>
              </w:rPr>
              <w:t>2018-19</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07" w:right="187"/>
              <w:jc w:val="center"/>
              <w:rPr>
                <w:rFonts w:ascii="Arial"/>
                <w:sz w:val="16"/>
              </w:rPr>
            </w:pPr>
            <w:r>
              <w:rPr>
                <w:rFonts w:ascii="Arial"/>
                <w:sz w:val="16"/>
              </w:rPr>
              <w:t>1.874</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116" w:right="94"/>
              <w:jc w:val="center"/>
              <w:rPr>
                <w:rFonts w:ascii="Arial"/>
                <w:sz w:val="16"/>
              </w:rPr>
            </w:pPr>
            <w:r>
              <w:rPr>
                <w:rFonts w:ascii="Arial"/>
                <w:sz w:val="16"/>
              </w:rPr>
              <w:t>1.057</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07" w:right="187"/>
              <w:jc w:val="center"/>
              <w:rPr>
                <w:rFonts w:ascii="Arial"/>
                <w:sz w:val="16"/>
              </w:rPr>
            </w:pPr>
            <w:r>
              <w:rPr>
                <w:rFonts w:ascii="Arial"/>
                <w:sz w:val="16"/>
              </w:rPr>
              <w:t>1.607</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111" w:right="94"/>
              <w:jc w:val="center"/>
              <w:rPr>
                <w:rFonts w:ascii="Arial"/>
                <w:sz w:val="16"/>
              </w:rPr>
            </w:pPr>
            <w:r>
              <w:rPr>
                <w:rFonts w:ascii="Arial"/>
                <w:sz w:val="16"/>
              </w:rPr>
              <w:t>0.961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07" w:right="188"/>
              <w:jc w:val="center"/>
              <w:rPr>
                <w:rFonts w:ascii="Arial"/>
                <w:sz w:val="16"/>
              </w:rPr>
            </w:pPr>
            <w:r>
              <w:rPr>
                <w:rFonts w:ascii="Arial"/>
                <w:sz w:val="16"/>
              </w:rPr>
              <w:t>1.406</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06" w:right="188"/>
              <w:jc w:val="center"/>
              <w:rPr>
                <w:rFonts w:ascii="Arial"/>
                <w:sz w:val="16"/>
              </w:rPr>
            </w:pPr>
            <w:r>
              <w:rPr>
                <w:rFonts w:ascii="Arial"/>
                <w:sz w:val="16"/>
              </w:rPr>
              <w:t>0.881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07" w:right="184"/>
              <w:jc w:val="center"/>
              <w:rPr>
                <w:rFonts w:ascii="Arial"/>
                <w:sz w:val="16"/>
              </w:rPr>
            </w:pPr>
            <w:r>
              <w:rPr>
                <w:rFonts w:ascii="Arial"/>
                <w:sz w:val="16"/>
              </w:rPr>
              <w:t>1.250</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114" w:right="94"/>
              <w:jc w:val="center"/>
              <w:rPr>
                <w:rFonts w:ascii="Arial"/>
                <w:sz w:val="16"/>
              </w:rPr>
            </w:pPr>
            <w:r>
              <w:rPr>
                <w:rFonts w:ascii="Arial"/>
                <w:sz w:val="16"/>
              </w:rPr>
              <w:t>0.755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05" w:right="188"/>
              <w:jc w:val="center"/>
              <w:rPr>
                <w:rFonts w:ascii="Arial"/>
                <w:sz w:val="16"/>
              </w:rPr>
            </w:pPr>
            <w:r>
              <w:rPr>
                <w:rFonts w:ascii="Arial"/>
                <w:sz w:val="16"/>
              </w:rPr>
              <w:t>1.125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113" w:right="94"/>
              <w:jc w:val="center"/>
              <w:rPr>
                <w:rFonts w:ascii="Arial"/>
                <w:sz w:val="16"/>
              </w:rPr>
            </w:pPr>
            <w:r>
              <w:rPr>
                <w:rFonts w:ascii="Arial"/>
                <w:sz w:val="16"/>
              </w:rPr>
              <w:t>0.705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05" w:right="188"/>
              <w:jc w:val="center"/>
              <w:rPr>
                <w:rFonts w:ascii="Arial"/>
                <w:sz w:val="16"/>
              </w:rPr>
            </w:pPr>
            <w:r>
              <w:rPr>
                <w:rFonts w:ascii="Arial"/>
                <w:sz w:val="16"/>
              </w:rPr>
              <w:t>1.125</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193" w:right="177"/>
              <w:jc w:val="center"/>
              <w:rPr>
                <w:rFonts w:ascii="Arial"/>
                <w:sz w:val="16"/>
              </w:rPr>
            </w:pPr>
            <w:r>
              <w:rPr>
                <w:rFonts w:ascii="Arial"/>
                <w:sz w:val="16"/>
              </w:rPr>
              <w:t>0.705</w:t>
            </w:r>
          </w:p>
        </w:tc>
      </w:tr>
      <w:tr>
        <w:trPr>
          <w:trHeight w:val="186" w:hRule="atLeast"/>
        </w:trPr>
        <w:tc>
          <w:tcPr>
            <w:tcW w:w="1858" w:type="dxa"/>
            <w:vMerge/>
            <w:tcBorders>
              <w:top w:val="nil"/>
              <w:bottom w:val="nil"/>
            </w:tcBorders>
          </w:tcPr>
          <w:p>
            <w:pPr>
              <w:rPr>
                <w:sz w:val="2"/>
                <w:szCs w:val="2"/>
              </w:rPr>
            </w:pPr>
          </w:p>
        </w:tc>
        <w:tc>
          <w:tcPr>
            <w:tcW w:w="1133" w:type="dxa"/>
            <w:vMerge/>
            <w:tcBorders>
              <w:top w:val="nil"/>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9" w:right="94"/>
              <w:jc w:val="center"/>
              <w:rPr>
                <w:rFonts w:ascii="Arial"/>
                <w:sz w:val="16"/>
              </w:rPr>
            </w:pPr>
            <w:r>
              <w:rPr>
                <w:rFonts w:ascii="Arial"/>
                <w:sz w:val="16"/>
              </w:rPr>
              <w:t>2020-21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7"/>
              <w:jc w:val="center"/>
              <w:rPr>
                <w:rFonts w:ascii="Arial"/>
                <w:sz w:val="16"/>
              </w:rPr>
            </w:pPr>
            <w:r>
              <w:rPr>
                <w:rFonts w:ascii="Arial"/>
                <w:sz w:val="16"/>
              </w:rPr>
              <w:t>1.654</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6" w:right="94"/>
              <w:jc w:val="center"/>
              <w:rPr>
                <w:rFonts w:ascii="Arial"/>
                <w:sz w:val="16"/>
              </w:rPr>
            </w:pPr>
            <w:r>
              <w:rPr>
                <w:rFonts w:ascii="Arial"/>
                <w:sz w:val="16"/>
              </w:rPr>
              <w:t>0.935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7"/>
              <w:jc w:val="center"/>
              <w:rPr>
                <w:rFonts w:ascii="Arial"/>
                <w:sz w:val="16"/>
              </w:rPr>
            </w:pPr>
            <w:r>
              <w:rPr>
                <w:rFonts w:ascii="Arial"/>
                <w:sz w:val="16"/>
              </w:rPr>
              <w:t>1.418</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1" w:right="94"/>
              <w:jc w:val="center"/>
              <w:rPr>
                <w:rFonts w:ascii="Arial"/>
                <w:sz w:val="16"/>
              </w:rPr>
            </w:pPr>
            <w:r>
              <w:rPr>
                <w:rFonts w:ascii="Arial"/>
                <w:sz w:val="16"/>
              </w:rPr>
              <w:t>0.850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8"/>
              <w:jc w:val="center"/>
              <w:rPr>
                <w:rFonts w:ascii="Arial"/>
                <w:sz w:val="16"/>
              </w:rPr>
            </w:pPr>
            <w:r>
              <w:rPr>
                <w:rFonts w:ascii="Arial"/>
                <w:sz w:val="16"/>
              </w:rPr>
              <w:t>1.240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6" w:right="188"/>
              <w:jc w:val="center"/>
              <w:rPr>
                <w:rFonts w:ascii="Arial"/>
                <w:sz w:val="16"/>
              </w:rPr>
            </w:pPr>
            <w:r>
              <w:rPr>
                <w:rFonts w:ascii="Arial"/>
                <w:sz w:val="16"/>
              </w:rPr>
              <w:t>0.779</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4"/>
              <w:jc w:val="center"/>
              <w:rPr>
                <w:rFonts w:ascii="Arial"/>
                <w:sz w:val="16"/>
              </w:rPr>
            </w:pPr>
            <w:r>
              <w:rPr>
                <w:rFonts w:ascii="Arial"/>
                <w:sz w:val="16"/>
              </w:rPr>
              <w:t>1.103</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4" w:right="94"/>
              <w:jc w:val="center"/>
              <w:rPr>
                <w:rFonts w:ascii="Arial"/>
                <w:sz w:val="16"/>
              </w:rPr>
            </w:pPr>
            <w:r>
              <w:rPr>
                <w:rFonts w:ascii="Arial"/>
                <w:sz w:val="16"/>
              </w:rPr>
              <w:t>0.668</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5" w:right="188"/>
              <w:jc w:val="center"/>
              <w:rPr>
                <w:rFonts w:ascii="Arial"/>
                <w:sz w:val="16"/>
              </w:rPr>
            </w:pPr>
            <w:r>
              <w:rPr>
                <w:rFonts w:ascii="Arial"/>
                <w:sz w:val="16"/>
              </w:rPr>
              <w:t>0.992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3" w:right="94"/>
              <w:jc w:val="center"/>
              <w:rPr>
                <w:rFonts w:ascii="Arial"/>
                <w:sz w:val="16"/>
              </w:rPr>
            </w:pPr>
            <w:r>
              <w:rPr>
                <w:rFonts w:ascii="Arial"/>
                <w:sz w:val="16"/>
              </w:rPr>
              <w:t>0.623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5" w:right="188"/>
              <w:jc w:val="center"/>
              <w:rPr>
                <w:rFonts w:ascii="Arial"/>
                <w:sz w:val="16"/>
              </w:rPr>
            </w:pPr>
            <w:r>
              <w:rPr>
                <w:rFonts w:ascii="Arial"/>
                <w:sz w:val="16"/>
              </w:rPr>
              <w:t>0.992</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93" w:right="177"/>
              <w:jc w:val="center"/>
              <w:rPr>
                <w:rFonts w:ascii="Arial"/>
                <w:sz w:val="16"/>
              </w:rPr>
            </w:pPr>
            <w:r>
              <w:rPr>
                <w:rFonts w:ascii="Arial"/>
                <w:sz w:val="16"/>
              </w:rPr>
              <w:t>0.623</w:t>
            </w:r>
          </w:p>
        </w:tc>
      </w:tr>
      <w:tr>
        <w:trPr>
          <w:trHeight w:val="188" w:hRule="atLeast"/>
        </w:trPr>
        <w:tc>
          <w:tcPr>
            <w:tcW w:w="1858" w:type="dxa"/>
            <w:vMerge/>
            <w:tcBorders>
              <w:top w:val="nil"/>
              <w:bottom w:val="nil"/>
            </w:tcBorders>
          </w:tcPr>
          <w:p>
            <w:pPr>
              <w:rPr>
                <w:sz w:val="2"/>
                <w:szCs w:val="2"/>
              </w:rPr>
            </w:pPr>
          </w:p>
        </w:tc>
        <w:tc>
          <w:tcPr>
            <w:tcW w:w="1133" w:type="dxa"/>
            <w:vMerge/>
            <w:tcBorders>
              <w:top w:val="nil"/>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119" w:right="94"/>
              <w:jc w:val="center"/>
              <w:rPr>
                <w:rFonts w:ascii="Arial"/>
                <w:sz w:val="16"/>
              </w:rPr>
            </w:pPr>
            <w:r>
              <w:rPr>
                <w:rFonts w:ascii="Arial"/>
                <w:sz w:val="16"/>
              </w:rPr>
              <w:t>2022-23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207" w:right="187"/>
              <w:jc w:val="center"/>
              <w:rPr>
                <w:rFonts w:ascii="Arial"/>
                <w:sz w:val="16"/>
              </w:rPr>
            </w:pPr>
            <w:r>
              <w:rPr>
                <w:rFonts w:ascii="Arial"/>
                <w:sz w:val="16"/>
              </w:rPr>
              <w:t>1.470</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116" w:right="94"/>
              <w:jc w:val="center"/>
              <w:rPr>
                <w:rFonts w:ascii="Arial"/>
                <w:sz w:val="16"/>
              </w:rPr>
            </w:pPr>
            <w:r>
              <w:rPr>
                <w:rFonts w:ascii="Arial"/>
                <w:sz w:val="16"/>
              </w:rPr>
              <w:t>0.833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207" w:right="187"/>
              <w:jc w:val="center"/>
              <w:rPr>
                <w:rFonts w:ascii="Arial"/>
                <w:sz w:val="16"/>
              </w:rPr>
            </w:pPr>
            <w:r>
              <w:rPr>
                <w:rFonts w:ascii="Arial"/>
                <w:sz w:val="16"/>
              </w:rPr>
              <w:t>1.260</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111" w:right="94"/>
              <w:jc w:val="center"/>
              <w:rPr>
                <w:rFonts w:ascii="Arial"/>
                <w:sz w:val="16"/>
              </w:rPr>
            </w:pPr>
            <w:r>
              <w:rPr>
                <w:rFonts w:ascii="Arial"/>
                <w:sz w:val="16"/>
              </w:rPr>
              <w:t>0.757</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207" w:right="188"/>
              <w:jc w:val="center"/>
              <w:rPr>
                <w:rFonts w:ascii="Arial"/>
                <w:sz w:val="16"/>
              </w:rPr>
            </w:pPr>
            <w:r>
              <w:rPr>
                <w:rFonts w:ascii="Arial"/>
                <w:sz w:val="16"/>
              </w:rPr>
              <w:t>1.103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206" w:right="188"/>
              <w:jc w:val="center"/>
              <w:rPr>
                <w:rFonts w:ascii="Arial"/>
                <w:sz w:val="16"/>
              </w:rPr>
            </w:pPr>
            <w:r>
              <w:rPr>
                <w:rFonts w:ascii="Arial"/>
                <w:sz w:val="16"/>
              </w:rPr>
              <w:t>0.694</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207" w:right="184"/>
              <w:jc w:val="center"/>
              <w:rPr>
                <w:rFonts w:ascii="Arial"/>
                <w:sz w:val="16"/>
              </w:rPr>
            </w:pPr>
            <w:r>
              <w:rPr>
                <w:rFonts w:ascii="Arial"/>
                <w:sz w:val="16"/>
              </w:rPr>
              <w:t>0.980</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114" w:right="94"/>
              <w:jc w:val="center"/>
              <w:rPr>
                <w:rFonts w:ascii="Arial"/>
                <w:sz w:val="16"/>
              </w:rPr>
            </w:pPr>
            <w:r>
              <w:rPr>
                <w:rFonts w:ascii="Arial"/>
                <w:sz w:val="16"/>
              </w:rPr>
              <w:t>0.595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205" w:right="188"/>
              <w:jc w:val="center"/>
              <w:rPr>
                <w:rFonts w:ascii="Arial"/>
                <w:sz w:val="16"/>
              </w:rPr>
            </w:pPr>
            <w:r>
              <w:rPr>
                <w:rFonts w:ascii="Arial"/>
                <w:sz w:val="16"/>
              </w:rPr>
              <w:t>0.882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113" w:right="94"/>
              <w:jc w:val="center"/>
              <w:rPr>
                <w:rFonts w:ascii="Arial"/>
                <w:sz w:val="16"/>
              </w:rPr>
            </w:pPr>
            <w:r>
              <w:rPr>
                <w:rFonts w:ascii="Arial"/>
                <w:sz w:val="16"/>
              </w:rPr>
              <w:t>0.555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205" w:right="188"/>
              <w:jc w:val="center"/>
              <w:rPr>
                <w:rFonts w:ascii="Arial"/>
                <w:sz w:val="16"/>
              </w:rPr>
            </w:pPr>
            <w:r>
              <w:rPr>
                <w:rFonts w:ascii="Arial"/>
                <w:sz w:val="16"/>
              </w:rPr>
              <w:t>0.882</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193" w:right="177"/>
              <w:jc w:val="center"/>
              <w:rPr>
                <w:rFonts w:ascii="Arial"/>
                <w:sz w:val="16"/>
              </w:rPr>
            </w:pPr>
            <w:r>
              <w:rPr>
                <w:rFonts w:ascii="Arial"/>
                <w:sz w:val="16"/>
              </w:rPr>
              <w:t>0.555</w:t>
            </w:r>
          </w:p>
        </w:tc>
      </w:tr>
      <w:tr>
        <w:trPr>
          <w:trHeight w:val="191" w:hRule="atLeast"/>
        </w:trPr>
        <w:tc>
          <w:tcPr>
            <w:tcW w:w="1858" w:type="dxa"/>
            <w:vMerge w:val="restart"/>
            <w:tcBorders>
              <w:top w:val="nil"/>
              <w:bottom w:val="nil"/>
            </w:tcBorders>
          </w:tcPr>
          <w:p>
            <w:pPr>
              <w:pStyle w:val="TableParagraph"/>
              <w:spacing w:line="191" w:lineRule="exact"/>
              <w:ind w:left="172"/>
              <w:rPr>
                <w:rFonts w:ascii="Arial"/>
                <w:sz w:val="18"/>
              </w:rPr>
            </w:pPr>
            <w:r>
              <w:rPr>
                <w:rFonts w:ascii="Arial"/>
                <w:sz w:val="18"/>
              </w:rPr>
              <w:t>simply</w:t>
            </w:r>
            <w:r>
              <w:rPr>
                <w:rFonts w:ascii="Arial"/>
                <w:spacing w:val="-37"/>
                <w:sz w:val="18"/>
              </w:rPr>
              <w:t> </w:t>
            </w:r>
            <w:r>
              <w:rPr>
                <w:rFonts w:ascii="Arial"/>
                <w:sz w:val="18"/>
              </w:rPr>
              <w:t>the</w:t>
            </w:r>
            <w:r>
              <w:rPr>
                <w:rFonts w:ascii="Arial"/>
                <w:spacing w:val="-36"/>
                <w:sz w:val="18"/>
              </w:rPr>
              <w:t> </w:t>
            </w:r>
            <w:r>
              <w:rPr>
                <w:rFonts w:ascii="Arial"/>
                <w:sz w:val="18"/>
              </w:rPr>
              <w:t>AECI</w:t>
            </w:r>
            <w:r>
              <w:rPr>
                <w:rFonts w:ascii="Arial"/>
                <w:spacing w:val="-37"/>
                <w:sz w:val="18"/>
              </w:rPr>
              <w:t> </w:t>
            </w:r>
            <w:r>
              <w:rPr>
                <w:rFonts w:ascii="Arial"/>
                <w:sz w:val="18"/>
              </w:rPr>
              <w:t>base</w:t>
            </w:r>
          </w:p>
          <w:p>
            <w:pPr>
              <w:pStyle w:val="TableParagraph"/>
              <w:spacing w:line="220" w:lineRule="atLeast" w:before="1"/>
              <w:ind w:left="306" w:right="284" w:hanging="4"/>
              <w:jc w:val="center"/>
              <w:rPr>
                <w:rFonts w:ascii="Arial"/>
                <w:sz w:val="18"/>
              </w:rPr>
            </w:pPr>
            <w:r>
              <w:rPr>
                <w:rFonts w:ascii="Arial"/>
                <w:sz w:val="18"/>
              </w:rPr>
              <w:t>values above multiplied</w:t>
            </w:r>
            <w:r>
              <w:rPr>
                <w:rFonts w:ascii="Arial"/>
                <w:spacing w:val="-30"/>
                <w:sz w:val="18"/>
              </w:rPr>
              <w:t> </w:t>
            </w:r>
            <w:r>
              <w:rPr>
                <w:rFonts w:ascii="Arial"/>
                <w:sz w:val="18"/>
              </w:rPr>
              <w:t>by</w:t>
            </w:r>
            <w:r>
              <w:rPr>
                <w:rFonts w:ascii="Arial"/>
                <w:spacing w:val="-31"/>
                <w:sz w:val="18"/>
              </w:rPr>
              <w:t> </w:t>
            </w:r>
            <w:r>
              <w:rPr>
                <w:rFonts w:ascii="Arial"/>
                <w:sz w:val="18"/>
              </w:rPr>
              <w:t>the</w:t>
            </w:r>
          </w:p>
        </w:tc>
        <w:tc>
          <w:tcPr>
            <w:tcW w:w="1133" w:type="dxa"/>
            <w:vMerge w:val="restart"/>
            <w:tcBorders>
              <w:right w:val="single" w:sz="4" w:space="0" w:color="000000"/>
            </w:tcBorders>
          </w:tcPr>
          <w:p>
            <w:pPr>
              <w:pStyle w:val="TableParagraph"/>
              <w:spacing w:before="85"/>
              <w:ind w:left="47" w:right="34"/>
              <w:jc w:val="center"/>
              <w:rPr>
                <w:rFonts w:ascii="Arial"/>
                <w:sz w:val="18"/>
              </w:rPr>
            </w:pPr>
            <w:r>
              <w:rPr>
                <w:rFonts w:ascii="Arial"/>
                <w:sz w:val="18"/>
              </w:rPr>
              <w:t>C3 </w:t>
            </w:r>
            <w:r>
              <w:rPr>
                <w:rFonts w:ascii="Arial"/>
                <w:w w:val="115"/>
                <w:sz w:val="18"/>
              </w:rPr>
              <w:t>/ </w:t>
            </w:r>
            <w:r>
              <w:rPr>
                <w:rFonts w:ascii="Arial"/>
                <w:sz w:val="18"/>
              </w:rPr>
              <w:t>P1</w:t>
            </w:r>
          </w:p>
          <w:p>
            <w:pPr>
              <w:pStyle w:val="TableParagraph"/>
              <w:spacing w:before="14"/>
              <w:ind w:left="47" w:right="40"/>
              <w:jc w:val="center"/>
              <w:rPr>
                <w:rFonts w:ascii="Arial"/>
                <w:sz w:val="18"/>
              </w:rPr>
            </w:pPr>
            <w:r>
              <w:rPr>
                <w:rFonts w:ascii="Arial"/>
                <w:sz w:val="18"/>
              </w:rPr>
              <w:t>(avg. 15 lux)</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3"/>
              <w:ind w:left="119" w:right="94"/>
              <w:jc w:val="center"/>
              <w:rPr>
                <w:rFonts w:ascii="Arial"/>
                <w:sz w:val="16"/>
              </w:rPr>
            </w:pPr>
            <w:r>
              <w:rPr>
                <w:rFonts w:ascii="Arial"/>
                <w:sz w:val="16"/>
              </w:rPr>
              <w:t>2018-19</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3"/>
              <w:ind w:left="207" w:right="187"/>
              <w:jc w:val="center"/>
              <w:rPr>
                <w:rFonts w:ascii="Arial"/>
                <w:sz w:val="16"/>
              </w:rPr>
            </w:pPr>
            <w:r>
              <w:rPr>
                <w:rFonts w:ascii="Arial"/>
                <w:sz w:val="16"/>
              </w:rPr>
              <w:t>1.406</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3"/>
              <w:ind w:left="116" w:right="94"/>
              <w:jc w:val="center"/>
              <w:rPr>
                <w:rFonts w:ascii="Arial"/>
                <w:sz w:val="16"/>
              </w:rPr>
            </w:pPr>
            <w:r>
              <w:rPr>
                <w:rFonts w:ascii="Arial"/>
                <w:sz w:val="16"/>
              </w:rPr>
              <w:t>0.793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3"/>
              <w:ind w:left="207" w:right="187"/>
              <w:jc w:val="center"/>
              <w:rPr>
                <w:rFonts w:ascii="Arial"/>
                <w:sz w:val="16"/>
              </w:rPr>
            </w:pPr>
            <w:r>
              <w:rPr>
                <w:rFonts w:ascii="Arial"/>
                <w:sz w:val="16"/>
              </w:rPr>
              <w:t>1.205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3"/>
              <w:ind w:left="111" w:right="94"/>
              <w:jc w:val="center"/>
              <w:rPr>
                <w:rFonts w:ascii="Arial"/>
                <w:sz w:val="16"/>
              </w:rPr>
            </w:pPr>
            <w:r>
              <w:rPr>
                <w:rFonts w:ascii="Arial"/>
                <w:sz w:val="16"/>
              </w:rPr>
              <w:t>0.721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3"/>
              <w:ind w:left="207" w:right="188"/>
              <w:jc w:val="center"/>
              <w:rPr>
                <w:rFonts w:ascii="Arial"/>
                <w:sz w:val="16"/>
              </w:rPr>
            </w:pPr>
            <w:r>
              <w:rPr>
                <w:rFonts w:ascii="Arial"/>
                <w:sz w:val="16"/>
              </w:rPr>
              <w:t>1.054</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3"/>
              <w:ind w:left="206" w:right="188"/>
              <w:jc w:val="center"/>
              <w:rPr>
                <w:rFonts w:ascii="Arial"/>
                <w:sz w:val="16"/>
              </w:rPr>
            </w:pPr>
            <w:r>
              <w:rPr>
                <w:rFonts w:ascii="Arial"/>
                <w:sz w:val="16"/>
              </w:rPr>
              <w:t>0.661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3"/>
              <w:ind w:left="207" w:right="184"/>
              <w:jc w:val="center"/>
              <w:rPr>
                <w:rFonts w:ascii="Arial"/>
                <w:sz w:val="16"/>
              </w:rPr>
            </w:pPr>
            <w:r>
              <w:rPr>
                <w:rFonts w:ascii="Arial"/>
                <w:sz w:val="16"/>
              </w:rPr>
              <w:t>0.937</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3"/>
              <w:ind w:left="114" w:right="94"/>
              <w:jc w:val="center"/>
              <w:rPr>
                <w:rFonts w:ascii="Arial"/>
                <w:sz w:val="16"/>
              </w:rPr>
            </w:pPr>
            <w:r>
              <w:rPr>
                <w:rFonts w:ascii="Arial"/>
                <w:sz w:val="16"/>
              </w:rPr>
              <w:t>0.566</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3"/>
              <w:ind w:left="205" w:right="188"/>
              <w:jc w:val="center"/>
              <w:rPr>
                <w:rFonts w:ascii="Arial"/>
                <w:sz w:val="16"/>
              </w:rPr>
            </w:pPr>
            <w:r>
              <w:rPr>
                <w:rFonts w:ascii="Arial"/>
                <w:sz w:val="16"/>
              </w:rPr>
              <w:t>0.843</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3"/>
              <w:ind w:left="113" w:right="94"/>
              <w:jc w:val="center"/>
              <w:rPr>
                <w:rFonts w:ascii="Arial"/>
                <w:sz w:val="16"/>
              </w:rPr>
            </w:pPr>
            <w:r>
              <w:rPr>
                <w:rFonts w:ascii="Arial"/>
                <w:sz w:val="16"/>
              </w:rPr>
              <w:t>0.529</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3"/>
              <w:ind w:left="205" w:right="188"/>
              <w:jc w:val="center"/>
              <w:rPr>
                <w:rFonts w:ascii="Arial"/>
                <w:sz w:val="16"/>
              </w:rPr>
            </w:pPr>
            <w:r>
              <w:rPr>
                <w:rFonts w:ascii="Arial"/>
                <w:sz w:val="16"/>
              </w:rPr>
              <w:t>0.843</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3"/>
              <w:ind w:left="193" w:right="177"/>
              <w:jc w:val="center"/>
              <w:rPr>
                <w:rFonts w:ascii="Arial"/>
                <w:sz w:val="16"/>
              </w:rPr>
            </w:pPr>
            <w:r>
              <w:rPr>
                <w:rFonts w:ascii="Arial"/>
                <w:sz w:val="16"/>
              </w:rPr>
              <w:t>0.529</w:t>
            </w:r>
          </w:p>
        </w:tc>
      </w:tr>
      <w:tr>
        <w:trPr>
          <w:trHeight w:val="186" w:hRule="atLeast"/>
        </w:trPr>
        <w:tc>
          <w:tcPr>
            <w:tcW w:w="1858" w:type="dxa"/>
            <w:vMerge/>
            <w:tcBorders>
              <w:top w:val="nil"/>
              <w:bottom w:val="nil"/>
            </w:tcBorders>
          </w:tcPr>
          <w:p>
            <w:pPr>
              <w:rPr>
                <w:sz w:val="2"/>
                <w:szCs w:val="2"/>
              </w:rPr>
            </w:pPr>
          </w:p>
        </w:tc>
        <w:tc>
          <w:tcPr>
            <w:tcW w:w="1133" w:type="dxa"/>
            <w:vMerge/>
            <w:tcBorders>
              <w:top w:val="nil"/>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9" w:right="94"/>
              <w:jc w:val="center"/>
              <w:rPr>
                <w:rFonts w:ascii="Arial"/>
                <w:sz w:val="16"/>
              </w:rPr>
            </w:pPr>
            <w:r>
              <w:rPr>
                <w:rFonts w:ascii="Arial"/>
                <w:sz w:val="16"/>
              </w:rPr>
              <w:t>2020-21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7"/>
              <w:jc w:val="center"/>
              <w:rPr>
                <w:rFonts w:ascii="Arial"/>
                <w:sz w:val="16"/>
              </w:rPr>
            </w:pPr>
            <w:r>
              <w:rPr>
                <w:rFonts w:ascii="Arial"/>
                <w:sz w:val="16"/>
              </w:rPr>
              <w:t>1.240</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6" w:right="94"/>
              <w:jc w:val="center"/>
              <w:rPr>
                <w:rFonts w:ascii="Arial"/>
                <w:sz w:val="16"/>
              </w:rPr>
            </w:pPr>
            <w:r>
              <w:rPr>
                <w:rFonts w:ascii="Arial"/>
                <w:sz w:val="16"/>
              </w:rPr>
              <w:t>0.701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7"/>
              <w:jc w:val="center"/>
              <w:rPr>
                <w:rFonts w:ascii="Arial"/>
                <w:sz w:val="16"/>
              </w:rPr>
            </w:pPr>
            <w:r>
              <w:rPr>
                <w:rFonts w:ascii="Arial"/>
                <w:sz w:val="16"/>
              </w:rPr>
              <w:t>1.063</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1" w:right="94"/>
              <w:jc w:val="center"/>
              <w:rPr>
                <w:rFonts w:ascii="Arial"/>
                <w:sz w:val="16"/>
              </w:rPr>
            </w:pPr>
            <w:r>
              <w:rPr>
                <w:rFonts w:ascii="Arial"/>
                <w:sz w:val="16"/>
              </w:rPr>
              <w:t>0.637</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8"/>
              <w:jc w:val="center"/>
              <w:rPr>
                <w:rFonts w:ascii="Arial"/>
                <w:sz w:val="16"/>
              </w:rPr>
            </w:pPr>
            <w:r>
              <w:rPr>
                <w:rFonts w:ascii="Arial"/>
                <w:sz w:val="16"/>
              </w:rPr>
              <w:t>0.930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6" w:right="188"/>
              <w:jc w:val="center"/>
              <w:rPr>
                <w:rFonts w:ascii="Arial"/>
                <w:sz w:val="16"/>
              </w:rPr>
            </w:pPr>
            <w:r>
              <w:rPr>
                <w:rFonts w:ascii="Arial"/>
                <w:sz w:val="16"/>
              </w:rPr>
              <w:t>0.584</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4"/>
              <w:jc w:val="center"/>
              <w:rPr>
                <w:rFonts w:ascii="Arial"/>
                <w:sz w:val="16"/>
              </w:rPr>
            </w:pPr>
            <w:r>
              <w:rPr>
                <w:rFonts w:ascii="Arial"/>
                <w:sz w:val="16"/>
              </w:rPr>
              <w:t>0.827</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4" w:right="94"/>
              <w:jc w:val="center"/>
              <w:rPr>
                <w:rFonts w:ascii="Arial"/>
                <w:sz w:val="16"/>
              </w:rPr>
            </w:pPr>
            <w:r>
              <w:rPr>
                <w:rFonts w:ascii="Arial"/>
                <w:sz w:val="16"/>
              </w:rPr>
              <w:t>0.501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5" w:right="188"/>
              <w:jc w:val="center"/>
              <w:rPr>
                <w:rFonts w:ascii="Arial"/>
                <w:sz w:val="16"/>
              </w:rPr>
            </w:pPr>
            <w:r>
              <w:rPr>
                <w:rFonts w:ascii="Arial"/>
                <w:sz w:val="16"/>
              </w:rPr>
              <w:t>0.744</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3" w:right="94"/>
              <w:jc w:val="center"/>
              <w:rPr>
                <w:rFonts w:ascii="Arial"/>
                <w:sz w:val="16"/>
              </w:rPr>
            </w:pPr>
            <w:r>
              <w:rPr>
                <w:rFonts w:ascii="Arial"/>
                <w:sz w:val="16"/>
              </w:rPr>
              <w:t>0.467</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5" w:right="188"/>
              <w:jc w:val="center"/>
              <w:rPr>
                <w:rFonts w:ascii="Arial"/>
                <w:sz w:val="16"/>
              </w:rPr>
            </w:pPr>
            <w:r>
              <w:rPr>
                <w:rFonts w:ascii="Arial"/>
                <w:sz w:val="16"/>
              </w:rPr>
              <w:t>0.744</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93" w:right="177"/>
              <w:jc w:val="center"/>
              <w:rPr>
                <w:rFonts w:ascii="Arial"/>
                <w:sz w:val="16"/>
              </w:rPr>
            </w:pPr>
            <w:r>
              <w:rPr>
                <w:rFonts w:ascii="Arial"/>
                <w:sz w:val="16"/>
              </w:rPr>
              <w:t>0.467</w:t>
            </w:r>
          </w:p>
        </w:tc>
      </w:tr>
      <w:tr>
        <w:trPr>
          <w:trHeight w:val="188" w:hRule="atLeast"/>
        </w:trPr>
        <w:tc>
          <w:tcPr>
            <w:tcW w:w="1858" w:type="dxa"/>
            <w:vMerge/>
            <w:tcBorders>
              <w:top w:val="nil"/>
              <w:bottom w:val="nil"/>
            </w:tcBorders>
          </w:tcPr>
          <w:p>
            <w:pPr>
              <w:rPr>
                <w:sz w:val="2"/>
                <w:szCs w:val="2"/>
              </w:rPr>
            </w:pPr>
          </w:p>
        </w:tc>
        <w:tc>
          <w:tcPr>
            <w:tcW w:w="1133" w:type="dxa"/>
            <w:vMerge/>
            <w:tcBorders>
              <w:top w:val="nil"/>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119" w:right="94"/>
              <w:jc w:val="center"/>
              <w:rPr>
                <w:rFonts w:ascii="Arial"/>
                <w:sz w:val="16"/>
              </w:rPr>
            </w:pPr>
            <w:r>
              <w:rPr>
                <w:rFonts w:ascii="Arial"/>
                <w:sz w:val="16"/>
              </w:rPr>
              <w:t>2022-23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207" w:right="187"/>
              <w:jc w:val="center"/>
              <w:rPr>
                <w:rFonts w:ascii="Arial"/>
                <w:sz w:val="16"/>
              </w:rPr>
            </w:pPr>
            <w:r>
              <w:rPr>
                <w:rFonts w:ascii="Arial"/>
                <w:sz w:val="16"/>
              </w:rPr>
              <w:t>1.103</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116" w:right="94"/>
              <w:jc w:val="center"/>
              <w:rPr>
                <w:rFonts w:ascii="Arial"/>
                <w:sz w:val="16"/>
              </w:rPr>
            </w:pPr>
            <w:r>
              <w:rPr>
                <w:rFonts w:ascii="Arial"/>
                <w:sz w:val="16"/>
              </w:rPr>
              <w:t>0.625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207" w:right="187"/>
              <w:jc w:val="center"/>
              <w:rPr>
                <w:rFonts w:ascii="Arial"/>
                <w:sz w:val="16"/>
              </w:rPr>
            </w:pPr>
            <w:r>
              <w:rPr>
                <w:rFonts w:ascii="Arial"/>
                <w:sz w:val="16"/>
              </w:rPr>
              <w:t>0.945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111" w:right="94"/>
              <w:jc w:val="center"/>
              <w:rPr>
                <w:rFonts w:ascii="Arial"/>
                <w:sz w:val="16"/>
              </w:rPr>
            </w:pPr>
            <w:r>
              <w:rPr>
                <w:rFonts w:ascii="Arial"/>
                <w:sz w:val="16"/>
              </w:rPr>
              <w:t>0.568</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207" w:right="188"/>
              <w:jc w:val="center"/>
              <w:rPr>
                <w:rFonts w:ascii="Arial"/>
                <w:sz w:val="16"/>
              </w:rPr>
            </w:pPr>
            <w:r>
              <w:rPr>
                <w:rFonts w:ascii="Arial"/>
                <w:sz w:val="16"/>
              </w:rPr>
              <w:t>0.827</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206" w:right="188"/>
              <w:jc w:val="center"/>
              <w:rPr>
                <w:rFonts w:ascii="Arial"/>
                <w:sz w:val="16"/>
              </w:rPr>
            </w:pPr>
            <w:r>
              <w:rPr>
                <w:rFonts w:ascii="Arial"/>
                <w:sz w:val="16"/>
              </w:rPr>
              <w:t>0.520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207" w:right="184"/>
              <w:jc w:val="center"/>
              <w:rPr>
                <w:rFonts w:ascii="Arial"/>
                <w:sz w:val="16"/>
              </w:rPr>
            </w:pPr>
            <w:r>
              <w:rPr>
                <w:rFonts w:ascii="Arial"/>
                <w:sz w:val="16"/>
              </w:rPr>
              <w:t>0.735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114" w:right="94"/>
              <w:jc w:val="center"/>
              <w:rPr>
                <w:rFonts w:ascii="Arial"/>
                <w:sz w:val="16"/>
              </w:rPr>
            </w:pPr>
            <w:r>
              <w:rPr>
                <w:rFonts w:ascii="Arial"/>
                <w:sz w:val="16"/>
              </w:rPr>
              <w:t>0.446</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205" w:right="188"/>
              <w:jc w:val="center"/>
              <w:rPr>
                <w:rFonts w:ascii="Arial"/>
                <w:sz w:val="16"/>
              </w:rPr>
            </w:pPr>
            <w:r>
              <w:rPr>
                <w:rFonts w:ascii="Arial"/>
                <w:sz w:val="16"/>
              </w:rPr>
              <w:t>0.662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113" w:right="94"/>
              <w:jc w:val="center"/>
              <w:rPr>
                <w:rFonts w:ascii="Arial"/>
                <w:sz w:val="16"/>
              </w:rPr>
            </w:pPr>
            <w:r>
              <w:rPr>
                <w:rFonts w:ascii="Arial"/>
                <w:sz w:val="16"/>
              </w:rPr>
              <w:t>0.416</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205" w:right="188"/>
              <w:jc w:val="center"/>
              <w:rPr>
                <w:rFonts w:ascii="Arial"/>
                <w:sz w:val="16"/>
              </w:rPr>
            </w:pPr>
            <w:r>
              <w:rPr>
                <w:rFonts w:ascii="Arial"/>
                <w:sz w:val="16"/>
              </w:rPr>
              <w:t>0.662</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ind w:left="193" w:right="177"/>
              <w:jc w:val="center"/>
              <w:rPr>
                <w:rFonts w:ascii="Arial"/>
                <w:sz w:val="16"/>
              </w:rPr>
            </w:pPr>
            <w:r>
              <w:rPr>
                <w:rFonts w:ascii="Arial"/>
                <w:sz w:val="16"/>
              </w:rPr>
              <w:t>0.416</w:t>
            </w:r>
          </w:p>
        </w:tc>
      </w:tr>
      <w:tr>
        <w:trPr>
          <w:trHeight w:val="26" w:hRule="atLeast"/>
        </w:trPr>
        <w:tc>
          <w:tcPr>
            <w:tcW w:w="1858" w:type="dxa"/>
            <w:vMerge/>
            <w:tcBorders>
              <w:top w:val="nil"/>
              <w:bottom w:val="nil"/>
            </w:tcBorders>
          </w:tcPr>
          <w:p>
            <w:pPr>
              <w:rPr>
                <w:sz w:val="2"/>
                <w:szCs w:val="2"/>
              </w:rPr>
            </w:pPr>
          </w:p>
        </w:tc>
        <w:tc>
          <w:tcPr>
            <w:tcW w:w="1133" w:type="dxa"/>
            <w:tcBorders>
              <w:bottom w:val="nil"/>
              <w:right w:val="single" w:sz="4" w:space="0" w:color="000000"/>
            </w:tcBorders>
          </w:tcPr>
          <w:p>
            <w:pPr>
              <w:pStyle w:val="TableParagraph"/>
              <w:ind w:left="0"/>
              <w:rPr>
                <w:sz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3"/>
              <w:ind w:left="164"/>
              <w:rPr>
                <w:rFonts w:ascii="Arial"/>
                <w:sz w:val="16"/>
              </w:rPr>
            </w:pPr>
            <w:r>
              <w:rPr>
                <w:rFonts w:ascii="Arial"/>
                <w:sz w:val="16"/>
              </w:rPr>
              <w:t>2018-19</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3"/>
              <w:ind w:left="246"/>
              <w:rPr>
                <w:rFonts w:ascii="Arial"/>
                <w:sz w:val="16"/>
              </w:rPr>
            </w:pPr>
            <w:r>
              <w:rPr>
                <w:rFonts w:ascii="Arial"/>
                <w:sz w:val="16"/>
              </w:rPr>
              <w:t>0.937</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3"/>
              <w:ind w:left="248"/>
              <w:rPr>
                <w:rFonts w:ascii="Arial"/>
                <w:sz w:val="16"/>
              </w:rPr>
            </w:pPr>
            <w:r>
              <w:rPr>
                <w:rFonts w:ascii="Arial"/>
                <w:sz w:val="16"/>
              </w:rPr>
              <w:t>0.529</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3"/>
              <w:ind w:left="246"/>
              <w:rPr>
                <w:rFonts w:ascii="Arial"/>
                <w:sz w:val="16"/>
              </w:rPr>
            </w:pPr>
            <w:r>
              <w:rPr>
                <w:rFonts w:ascii="Arial"/>
                <w:sz w:val="16"/>
              </w:rPr>
              <w:t>0.803</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3"/>
              <w:ind w:left="246"/>
              <w:rPr>
                <w:rFonts w:ascii="Arial"/>
                <w:sz w:val="16"/>
              </w:rPr>
            </w:pPr>
            <w:r>
              <w:rPr>
                <w:rFonts w:ascii="Arial"/>
                <w:sz w:val="16"/>
              </w:rPr>
              <w:t>0.480</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3"/>
              <w:ind w:left="246"/>
              <w:rPr>
                <w:rFonts w:ascii="Arial"/>
                <w:sz w:val="16"/>
              </w:rPr>
            </w:pPr>
            <w:r>
              <w:rPr>
                <w:rFonts w:ascii="Arial"/>
                <w:sz w:val="16"/>
              </w:rPr>
              <w:t>0.703</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3"/>
              <w:ind w:left="245"/>
              <w:rPr>
                <w:rFonts w:ascii="Arial"/>
                <w:sz w:val="16"/>
              </w:rPr>
            </w:pPr>
            <w:r>
              <w:rPr>
                <w:rFonts w:ascii="Arial"/>
                <w:sz w:val="16"/>
              </w:rPr>
              <w:t>0.440</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3"/>
              <w:ind w:left="247"/>
              <w:rPr>
                <w:rFonts w:ascii="Arial"/>
                <w:sz w:val="16"/>
              </w:rPr>
            </w:pPr>
            <w:r>
              <w:rPr>
                <w:rFonts w:ascii="Arial"/>
                <w:sz w:val="16"/>
              </w:rPr>
              <w:t>0.625</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3"/>
              <w:ind w:left="247"/>
              <w:rPr>
                <w:rFonts w:ascii="Arial"/>
                <w:sz w:val="16"/>
              </w:rPr>
            </w:pPr>
            <w:r>
              <w:rPr>
                <w:rFonts w:ascii="Arial"/>
                <w:sz w:val="16"/>
              </w:rPr>
              <w:t>0.378</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3"/>
              <w:ind w:left="245"/>
              <w:rPr>
                <w:rFonts w:ascii="Arial"/>
                <w:sz w:val="16"/>
              </w:rPr>
            </w:pPr>
            <w:r>
              <w:rPr>
                <w:rFonts w:ascii="Arial"/>
                <w:sz w:val="16"/>
              </w:rPr>
              <w:t>0.562</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3"/>
              <w:ind w:left="247"/>
              <w:rPr>
                <w:rFonts w:ascii="Arial"/>
                <w:sz w:val="16"/>
              </w:rPr>
            </w:pPr>
            <w:r>
              <w:rPr>
                <w:rFonts w:ascii="Arial"/>
                <w:sz w:val="16"/>
              </w:rPr>
              <w:t>0.352</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3"/>
              <w:ind w:left="244"/>
              <w:rPr>
                <w:rFonts w:ascii="Arial"/>
                <w:sz w:val="16"/>
              </w:rPr>
            </w:pPr>
            <w:r>
              <w:rPr>
                <w:rFonts w:ascii="Arial"/>
                <w:sz w:val="16"/>
              </w:rPr>
              <w:t>0.562</w:t>
            </w:r>
          </w:p>
        </w:tc>
        <w:tc>
          <w:tcPr>
            <w:tcW w:w="82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3"/>
              <w:ind w:left="230"/>
              <w:rPr>
                <w:rFonts w:ascii="Arial"/>
                <w:sz w:val="16"/>
              </w:rPr>
            </w:pPr>
            <w:r>
              <w:rPr>
                <w:rFonts w:ascii="Arial"/>
                <w:sz w:val="16"/>
              </w:rPr>
              <w:t>0.352</w:t>
            </w:r>
          </w:p>
        </w:tc>
      </w:tr>
      <w:tr>
        <w:trPr>
          <w:trHeight w:val="159" w:hRule="atLeast"/>
        </w:trPr>
        <w:tc>
          <w:tcPr>
            <w:tcW w:w="1858" w:type="dxa"/>
            <w:vMerge w:val="restart"/>
            <w:tcBorders>
              <w:top w:val="nil"/>
              <w:bottom w:val="nil"/>
            </w:tcBorders>
          </w:tcPr>
          <w:p>
            <w:pPr>
              <w:pStyle w:val="TableParagraph"/>
              <w:spacing w:line="189" w:lineRule="exact"/>
              <w:ind w:left="301"/>
              <w:rPr>
                <w:rFonts w:ascii="Arial"/>
                <w:sz w:val="18"/>
              </w:rPr>
            </w:pPr>
            <w:r>
              <w:rPr>
                <w:rFonts w:ascii="Arial"/>
                <w:sz w:val="18"/>
              </w:rPr>
              <w:t>illuminance (lux).</w:t>
            </w:r>
          </w:p>
        </w:tc>
        <w:tc>
          <w:tcPr>
            <w:tcW w:w="1133" w:type="dxa"/>
            <w:vMerge w:val="restart"/>
            <w:tcBorders>
              <w:top w:val="nil"/>
              <w:bottom w:val="nil"/>
              <w:right w:val="single" w:sz="4" w:space="0" w:color="000000"/>
            </w:tcBorders>
          </w:tcPr>
          <w:p>
            <w:pPr>
              <w:pStyle w:val="TableParagraph"/>
              <w:spacing w:before="48"/>
              <w:ind w:left="304"/>
              <w:rPr>
                <w:rFonts w:ascii="Arial"/>
                <w:sz w:val="18"/>
              </w:rPr>
            </w:pPr>
            <w:r>
              <w:rPr>
                <w:rFonts w:ascii="Arial"/>
                <w:sz w:val="18"/>
              </w:rPr>
              <w:t>C4 </w:t>
            </w:r>
            <w:r>
              <w:rPr>
                <w:rFonts w:ascii="Arial"/>
                <w:w w:val="115"/>
                <w:sz w:val="18"/>
              </w:rPr>
              <w:t>/ </w:t>
            </w:r>
            <w:r>
              <w:rPr>
                <w:rFonts w:ascii="Arial"/>
                <w:sz w:val="18"/>
              </w:rPr>
              <w:t>P2</w:t>
            </w: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21" w:type="dxa"/>
            <w:vMerge/>
            <w:tcBorders>
              <w:top w:val="nil"/>
              <w:left w:val="single" w:sz="4" w:space="0" w:color="000000"/>
              <w:bottom w:val="single" w:sz="4" w:space="0" w:color="000000"/>
              <w:right w:val="single" w:sz="4" w:space="0" w:color="000000"/>
            </w:tcBorders>
          </w:tcPr>
          <w:p>
            <w:pPr>
              <w:rPr>
                <w:sz w:val="2"/>
                <w:szCs w:val="2"/>
              </w:rPr>
            </w:pPr>
          </w:p>
        </w:tc>
      </w:tr>
      <w:tr>
        <w:trPr>
          <w:trHeight w:val="108" w:hRule="atLeast"/>
        </w:trPr>
        <w:tc>
          <w:tcPr>
            <w:tcW w:w="1858" w:type="dxa"/>
            <w:vMerge/>
            <w:tcBorders>
              <w:top w:val="nil"/>
              <w:bottom w:val="nil"/>
            </w:tcBorders>
          </w:tcPr>
          <w:p>
            <w:pPr>
              <w:rPr>
                <w:sz w:val="2"/>
                <w:szCs w:val="2"/>
              </w:rPr>
            </w:pPr>
          </w:p>
        </w:tc>
        <w:tc>
          <w:tcPr>
            <w:tcW w:w="1133" w:type="dxa"/>
            <w:vMerge/>
            <w:tcBorders>
              <w:top w:val="nil"/>
              <w:bottom w:val="nil"/>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164"/>
              <w:rPr>
                <w:rFonts w:ascii="Arial"/>
                <w:sz w:val="16"/>
              </w:rPr>
            </w:pPr>
            <w:r>
              <w:rPr>
                <w:rFonts w:ascii="Arial"/>
                <w:sz w:val="16"/>
              </w:rPr>
              <w:t>2020-21</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6"/>
              <w:rPr>
                <w:rFonts w:ascii="Arial"/>
                <w:sz w:val="16"/>
              </w:rPr>
            </w:pPr>
            <w:r>
              <w:rPr>
                <w:rFonts w:ascii="Arial"/>
                <w:sz w:val="16"/>
              </w:rPr>
              <w:t>0.827</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8"/>
              <w:rPr>
                <w:rFonts w:ascii="Arial"/>
                <w:sz w:val="16"/>
              </w:rPr>
            </w:pPr>
            <w:r>
              <w:rPr>
                <w:rFonts w:ascii="Arial"/>
                <w:sz w:val="16"/>
              </w:rPr>
              <w:t>0.467</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6"/>
              <w:rPr>
                <w:rFonts w:ascii="Arial"/>
                <w:sz w:val="16"/>
              </w:rPr>
            </w:pPr>
            <w:r>
              <w:rPr>
                <w:rFonts w:ascii="Arial"/>
                <w:sz w:val="16"/>
              </w:rPr>
              <w:t>0.709</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6"/>
              <w:rPr>
                <w:rFonts w:ascii="Arial"/>
                <w:sz w:val="16"/>
              </w:rPr>
            </w:pPr>
            <w:r>
              <w:rPr>
                <w:rFonts w:ascii="Arial"/>
                <w:sz w:val="16"/>
              </w:rPr>
              <w:t>0.425</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6"/>
              <w:rPr>
                <w:rFonts w:ascii="Arial"/>
                <w:sz w:val="16"/>
              </w:rPr>
            </w:pPr>
            <w:r>
              <w:rPr>
                <w:rFonts w:ascii="Arial"/>
                <w:sz w:val="16"/>
              </w:rPr>
              <w:t>0.620</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5"/>
              <w:rPr>
                <w:rFonts w:ascii="Arial"/>
                <w:sz w:val="16"/>
              </w:rPr>
            </w:pPr>
            <w:r>
              <w:rPr>
                <w:rFonts w:ascii="Arial"/>
                <w:sz w:val="16"/>
              </w:rPr>
              <w:t>0.389</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7"/>
              <w:rPr>
                <w:rFonts w:ascii="Arial"/>
                <w:sz w:val="16"/>
              </w:rPr>
            </w:pPr>
            <w:r>
              <w:rPr>
                <w:rFonts w:ascii="Arial"/>
                <w:sz w:val="16"/>
              </w:rPr>
              <w:t>0.551</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7"/>
              <w:rPr>
                <w:rFonts w:ascii="Arial"/>
                <w:sz w:val="16"/>
              </w:rPr>
            </w:pPr>
            <w:r>
              <w:rPr>
                <w:rFonts w:ascii="Arial"/>
                <w:sz w:val="16"/>
              </w:rPr>
              <w:t>0.334</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5"/>
              <w:rPr>
                <w:rFonts w:ascii="Arial"/>
                <w:sz w:val="16"/>
              </w:rPr>
            </w:pPr>
            <w:r>
              <w:rPr>
                <w:rFonts w:ascii="Arial"/>
                <w:sz w:val="16"/>
              </w:rPr>
              <w:t>0.496</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7"/>
              <w:rPr>
                <w:rFonts w:ascii="Arial"/>
                <w:sz w:val="16"/>
              </w:rPr>
            </w:pPr>
            <w:r>
              <w:rPr>
                <w:rFonts w:ascii="Arial"/>
                <w:sz w:val="16"/>
              </w:rPr>
              <w:t>0.312</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4"/>
              <w:rPr>
                <w:rFonts w:ascii="Arial"/>
                <w:sz w:val="16"/>
              </w:rPr>
            </w:pPr>
            <w:r>
              <w:rPr>
                <w:rFonts w:ascii="Arial"/>
                <w:sz w:val="16"/>
              </w:rPr>
              <w:t>0.496</w:t>
            </w:r>
          </w:p>
        </w:tc>
        <w:tc>
          <w:tcPr>
            <w:tcW w:w="82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30"/>
              <w:rPr>
                <w:rFonts w:ascii="Arial"/>
                <w:sz w:val="16"/>
              </w:rPr>
            </w:pPr>
            <w:r>
              <w:rPr>
                <w:rFonts w:ascii="Arial"/>
                <w:sz w:val="16"/>
              </w:rPr>
              <w:t>0.312</w:t>
            </w:r>
          </w:p>
        </w:tc>
      </w:tr>
      <w:tr>
        <w:trPr>
          <w:trHeight w:val="70" w:hRule="atLeast"/>
        </w:trPr>
        <w:tc>
          <w:tcPr>
            <w:tcW w:w="1858" w:type="dxa"/>
            <w:vMerge w:val="restart"/>
            <w:tcBorders>
              <w:top w:val="nil"/>
              <w:bottom w:val="nil"/>
            </w:tcBorders>
          </w:tcPr>
          <w:p>
            <w:pPr>
              <w:pStyle w:val="TableParagraph"/>
              <w:spacing w:line="173" w:lineRule="exact" w:before="132"/>
              <w:ind w:left="143"/>
              <w:rPr>
                <w:rFonts w:ascii="Trebuchet MS"/>
                <w:i/>
                <w:sz w:val="16"/>
              </w:rPr>
            </w:pPr>
            <w:r>
              <w:rPr>
                <w:rFonts w:ascii="Trebuchet MS"/>
                <w:i/>
                <w:sz w:val="16"/>
              </w:rPr>
              <w:t>*C0</w:t>
            </w:r>
            <w:r>
              <w:rPr>
                <w:rFonts w:ascii="Trebuchet MS"/>
                <w:i/>
                <w:spacing w:val="-29"/>
                <w:sz w:val="16"/>
              </w:rPr>
              <w:t> </w:t>
            </w:r>
            <w:r>
              <w:rPr>
                <w:rFonts w:ascii="Trebuchet MS"/>
                <w:i/>
                <w:sz w:val="16"/>
              </w:rPr>
              <w:t>or</w:t>
            </w:r>
            <w:r>
              <w:rPr>
                <w:rFonts w:ascii="Trebuchet MS"/>
                <w:i/>
                <w:spacing w:val="-28"/>
                <w:sz w:val="16"/>
              </w:rPr>
              <w:t> </w:t>
            </w:r>
            <w:r>
              <w:rPr>
                <w:rFonts w:ascii="Trebuchet MS"/>
                <w:i/>
                <w:sz w:val="16"/>
              </w:rPr>
              <w:t>C1</w:t>
            </w:r>
            <w:r>
              <w:rPr>
                <w:rFonts w:ascii="Trebuchet MS"/>
                <w:i/>
                <w:spacing w:val="-28"/>
                <w:sz w:val="16"/>
              </w:rPr>
              <w:t> </w:t>
            </w:r>
            <w:r>
              <w:rPr>
                <w:rFonts w:ascii="Trebuchet MS"/>
                <w:i/>
                <w:sz w:val="16"/>
              </w:rPr>
              <w:t>levels</w:t>
            </w:r>
            <w:r>
              <w:rPr>
                <w:rFonts w:ascii="Trebuchet MS"/>
                <w:i/>
                <w:spacing w:val="-28"/>
                <w:sz w:val="16"/>
              </w:rPr>
              <w:t> </w:t>
            </w:r>
            <w:r>
              <w:rPr>
                <w:rFonts w:ascii="Trebuchet MS"/>
                <w:i/>
                <w:sz w:val="16"/>
              </w:rPr>
              <w:t>must</w:t>
            </w:r>
            <w:r>
              <w:rPr>
                <w:rFonts w:ascii="Trebuchet MS"/>
                <w:i/>
                <w:spacing w:val="-28"/>
                <w:sz w:val="16"/>
              </w:rPr>
              <w:t> </w:t>
            </w:r>
            <w:r>
              <w:rPr>
                <w:rFonts w:ascii="Trebuchet MS"/>
                <w:i/>
                <w:sz w:val="16"/>
              </w:rPr>
              <w:t>be</w:t>
            </w:r>
          </w:p>
        </w:tc>
        <w:tc>
          <w:tcPr>
            <w:tcW w:w="1133" w:type="dxa"/>
            <w:vMerge w:val="restart"/>
            <w:tcBorders>
              <w:top w:val="nil"/>
              <w:right w:val="single" w:sz="4" w:space="0" w:color="000000"/>
            </w:tcBorders>
          </w:tcPr>
          <w:p>
            <w:pPr>
              <w:pStyle w:val="TableParagraph"/>
              <w:spacing w:line="189" w:lineRule="exact"/>
              <w:ind w:left="121"/>
              <w:rPr>
                <w:rFonts w:ascii="Arial"/>
                <w:sz w:val="18"/>
              </w:rPr>
            </w:pPr>
            <w:r>
              <w:rPr>
                <w:rFonts w:ascii="Arial"/>
                <w:sz w:val="18"/>
              </w:rPr>
              <w:t>(avg. 10 lux)</w:t>
            </w: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21" w:type="dxa"/>
            <w:vMerge/>
            <w:tcBorders>
              <w:top w:val="nil"/>
              <w:left w:val="single" w:sz="4" w:space="0" w:color="000000"/>
              <w:bottom w:val="single" w:sz="4" w:space="0" w:color="000000"/>
              <w:right w:val="single" w:sz="4" w:space="0" w:color="000000"/>
            </w:tcBorders>
          </w:tcPr>
          <w:p>
            <w:pPr>
              <w:rPr>
                <w:sz w:val="2"/>
                <w:szCs w:val="2"/>
              </w:rPr>
            </w:pPr>
          </w:p>
        </w:tc>
      </w:tr>
      <w:tr>
        <w:trPr>
          <w:trHeight w:val="191" w:hRule="atLeast"/>
        </w:trPr>
        <w:tc>
          <w:tcPr>
            <w:tcW w:w="1858" w:type="dxa"/>
            <w:vMerge/>
            <w:tcBorders>
              <w:top w:val="nil"/>
              <w:bottom w:val="nil"/>
            </w:tcBorders>
          </w:tcPr>
          <w:p>
            <w:pPr>
              <w:rPr>
                <w:sz w:val="2"/>
                <w:szCs w:val="2"/>
              </w:rPr>
            </w:pPr>
          </w:p>
        </w:tc>
        <w:tc>
          <w:tcPr>
            <w:tcW w:w="1133" w:type="dxa"/>
            <w:vMerge/>
            <w:tcBorders>
              <w:top w:val="nil"/>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9" w:right="94"/>
              <w:jc w:val="center"/>
              <w:rPr>
                <w:rFonts w:ascii="Arial"/>
                <w:sz w:val="16"/>
              </w:rPr>
            </w:pPr>
            <w:r>
              <w:rPr>
                <w:rFonts w:ascii="Arial"/>
                <w:sz w:val="16"/>
              </w:rPr>
              <w:t>2022-23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7" w:right="187"/>
              <w:jc w:val="center"/>
              <w:rPr>
                <w:rFonts w:ascii="Arial"/>
                <w:sz w:val="16"/>
              </w:rPr>
            </w:pPr>
            <w:r>
              <w:rPr>
                <w:rFonts w:ascii="Arial"/>
                <w:sz w:val="16"/>
              </w:rPr>
              <w:t>0.735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6" w:right="94"/>
              <w:jc w:val="center"/>
              <w:rPr>
                <w:rFonts w:ascii="Arial"/>
                <w:sz w:val="16"/>
              </w:rPr>
            </w:pPr>
            <w:r>
              <w:rPr>
                <w:rFonts w:ascii="Arial"/>
                <w:sz w:val="16"/>
              </w:rPr>
              <w:t>0.416</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7" w:right="187"/>
              <w:jc w:val="center"/>
              <w:rPr>
                <w:rFonts w:ascii="Arial"/>
                <w:sz w:val="16"/>
              </w:rPr>
            </w:pPr>
            <w:r>
              <w:rPr>
                <w:rFonts w:ascii="Arial"/>
                <w:sz w:val="16"/>
              </w:rPr>
              <w:t>0.630</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1" w:right="94"/>
              <w:jc w:val="center"/>
              <w:rPr>
                <w:rFonts w:ascii="Arial"/>
                <w:sz w:val="16"/>
              </w:rPr>
            </w:pPr>
            <w:r>
              <w:rPr>
                <w:rFonts w:ascii="Arial"/>
                <w:sz w:val="16"/>
              </w:rPr>
              <w:t>0.379</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7" w:right="188"/>
              <w:jc w:val="center"/>
              <w:rPr>
                <w:rFonts w:ascii="Arial"/>
                <w:sz w:val="16"/>
              </w:rPr>
            </w:pPr>
            <w:r>
              <w:rPr>
                <w:rFonts w:ascii="Arial"/>
                <w:sz w:val="16"/>
              </w:rPr>
              <w:t>0.551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6" w:right="188"/>
              <w:jc w:val="center"/>
              <w:rPr>
                <w:rFonts w:ascii="Arial"/>
                <w:sz w:val="16"/>
              </w:rPr>
            </w:pPr>
            <w:r>
              <w:rPr>
                <w:rFonts w:ascii="Arial"/>
                <w:sz w:val="16"/>
              </w:rPr>
              <w:t>0.347</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7" w:right="184"/>
              <w:jc w:val="center"/>
              <w:rPr>
                <w:rFonts w:ascii="Arial"/>
                <w:sz w:val="16"/>
              </w:rPr>
            </w:pPr>
            <w:r>
              <w:rPr>
                <w:rFonts w:ascii="Arial"/>
                <w:sz w:val="16"/>
              </w:rPr>
              <w:t>0.490</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4" w:right="94"/>
              <w:jc w:val="center"/>
              <w:rPr>
                <w:rFonts w:ascii="Arial"/>
                <w:sz w:val="16"/>
              </w:rPr>
            </w:pPr>
            <w:r>
              <w:rPr>
                <w:rFonts w:ascii="Arial"/>
                <w:sz w:val="16"/>
              </w:rPr>
              <w:t>0.297</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5" w:right="188"/>
              <w:jc w:val="center"/>
              <w:rPr>
                <w:rFonts w:ascii="Arial"/>
                <w:sz w:val="16"/>
              </w:rPr>
            </w:pPr>
            <w:r>
              <w:rPr>
                <w:rFonts w:ascii="Arial"/>
                <w:sz w:val="16"/>
              </w:rPr>
              <w:t>0.441</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3" w:right="94"/>
              <w:jc w:val="center"/>
              <w:rPr>
                <w:rFonts w:ascii="Arial"/>
                <w:sz w:val="16"/>
              </w:rPr>
            </w:pPr>
            <w:r>
              <w:rPr>
                <w:rFonts w:ascii="Arial"/>
                <w:sz w:val="16"/>
              </w:rPr>
              <w:t>0.278</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5" w:right="188"/>
              <w:jc w:val="center"/>
              <w:rPr>
                <w:rFonts w:ascii="Arial"/>
                <w:sz w:val="16"/>
              </w:rPr>
            </w:pPr>
            <w:r>
              <w:rPr>
                <w:rFonts w:ascii="Arial"/>
                <w:sz w:val="16"/>
              </w:rPr>
              <w:t>0.441</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93" w:right="177"/>
              <w:jc w:val="center"/>
              <w:rPr>
                <w:rFonts w:ascii="Arial"/>
                <w:sz w:val="16"/>
              </w:rPr>
            </w:pPr>
            <w:r>
              <w:rPr>
                <w:rFonts w:ascii="Arial"/>
                <w:sz w:val="16"/>
              </w:rPr>
              <w:t>0.278</w:t>
            </w:r>
          </w:p>
        </w:tc>
      </w:tr>
      <w:tr>
        <w:trPr>
          <w:trHeight w:val="22" w:hRule="atLeast"/>
        </w:trPr>
        <w:tc>
          <w:tcPr>
            <w:tcW w:w="1858" w:type="dxa"/>
            <w:vMerge/>
            <w:tcBorders>
              <w:top w:val="nil"/>
              <w:bottom w:val="nil"/>
            </w:tcBorders>
          </w:tcPr>
          <w:p>
            <w:pPr>
              <w:rPr>
                <w:sz w:val="2"/>
                <w:szCs w:val="2"/>
              </w:rPr>
            </w:pPr>
          </w:p>
        </w:tc>
        <w:tc>
          <w:tcPr>
            <w:tcW w:w="1133" w:type="dxa"/>
            <w:tcBorders>
              <w:bottom w:val="nil"/>
              <w:right w:val="single" w:sz="4" w:space="0" w:color="000000"/>
            </w:tcBorders>
          </w:tcPr>
          <w:p>
            <w:pPr>
              <w:pStyle w:val="TableParagraph"/>
              <w:ind w:left="0"/>
              <w:rPr>
                <w:sz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64"/>
              <w:rPr>
                <w:rFonts w:ascii="Arial"/>
                <w:sz w:val="16"/>
              </w:rPr>
            </w:pPr>
            <w:r>
              <w:rPr>
                <w:rFonts w:ascii="Arial"/>
                <w:sz w:val="16"/>
              </w:rPr>
              <w:t>2018-19</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6"/>
              <w:rPr>
                <w:rFonts w:ascii="Arial"/>
                <w:sz w:val="16"/>
              </w:rPr>
            </w:pPr>
            <w:r>
              <w:rPr>
                <w:rFonts w:ascii="Arial"/>
                <w:sz w:val="16"/>
              </w:rPr>
              <w:t>0.703</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8"/>
              <w:rPr>
                <w:rFonts w:ascii="Arial"/>
                <w:sz w:val="16"/>
              </w:rPr>
            </w:pPr>
            <w:r>
              <w:rPr>
                <w:rFonts w:ascii="Arial"/>
                <w:sz w:val="16"/>
              </w:rPr>
              <w:t>0.396</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6"/>
              <w:rPr>
                <w:rFonts w:ascii="Arial"/>
                <w:sz w:val="16"/>
              </w:rPr>
            </w:pPr>
            <w:r>
              <w:rPr>
                <w:rFonts w:ascii="Arial"/>
                <w:sz w:val="16"/>
              </w:rPr>
              <w:t>0.602</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6"/>
              <w:rPr>
                <w:rFonts w:ascii="Arial"/>
                <w:sz w:val="16"/>
              </w:rPr>
            </w:pPr>
            <w:r>
              <w:rPr>
                <w:rFonts w:ascii="Arial"/>
                <w:sz w:val="16"/>
              </w:rPr>
              <w:t>0.360</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6"/>
              <w:rPr>
                <w:rFonts w:ascii="Arial"/>
                <w:sz w:val="16"/>
              </w:rPr>
            </w:pPr>
            <w:r>
              <w:rPr>
                <w:rFonts w:ascii="Arial"/>
                <w:sz w:val="16"/>
              </w:rPr>
              <w:t>0.527</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5"/>
              <w:rPr>
                <w:rFonts w:ascii="Arial"/>
                <w:sz w:val="16"/>
              </w:rPr>
            </w:pPr>
            <w:r>
              <w:rPr>
                <w:rFonts w:ascii="Arial"/>
                <w:sz w:val="16"/>
              </w:rPr>
              <w:t>0.330</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7"/>
              <w:rPr>
                <w:rFonts w:ascii="Arial"/>
                <w:sz w:val="16"/>
              </w:rPr>
            </w:pPr>
            <w:r>
              <w:rPr>
                <w:rFonts w:ascii="Arial"/>
                <w:sz w:val="16"/>
              </w:rPr>
              <w:t>0.469</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7"/>
              <w:rPr>
                <w:rFonts w:ascii="Arial"/>
                <w:sz w:val="16"/>
              </w:rPr>
            </w:pPr>
            <w:r>
              <w:rPr>
                <w:rFonts w:ascii="Arial"/>
                <w:sz w:val="16"/>
              </w:rPr>
              <w:t>0.283</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5"/>
              <w:rPr>
                <w:rFonts w:ascii="Arial"/>
                <w:sz w:val="16"/>
              </w:rPr>
            </w:pPr>
            <w:r>
              <w:rPr>
                <w:rFonts w:ascii="Arial"/>
                <w:sz w:val="16"/>
              </w:rPr>
              <w:t>0.422</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7"/>
              <w:rPr>
                <w:rFonts w:ascii="Arial"/>
                <w:sz w:val="16"/>
              </w:rPr>
            </w:pPr>
            <w:r>
              <w:rPr>
                <w:rFonts w:ascii="Arial"/>
                <w:sz w:val="16"/>
              </w:rPr>
              <w:t>0.264</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4"/>
              <w:rPr>
                <w:rFonts w:ascii="Arial"/>
                <w:sz w:val="16"/>
              </w:rPr>
            </w:pPr>
            <w:r>
              <w:rPr>
                <w:rFonts w:ascii="Arial"/>
                <w:sz w:val="16"/>
              </w:rPr>
              <w:t>0.422</w:t>
            </w:r>
          </w:p>
        </w:tc>
        <w:tc>
          <w:tcPr>
            <w:tcW w:w="82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30"/>
              <w:rPr>
                <w:rFonts w:ascii="Arial"/>
                <w:sz w:val="16"/>
              </w:rPr>
            </w:pPr>
            <w:r>
              <w:rPr>
                <w:rFonts w:ascii="Arial"/>
                <w:sz w:val="16"/>
              </w:rPr>
              <w:t>0.264</w:t>
            </w:r>
          </w:p>
        </w:tc>
      </w:tr>
      <w:tr>
        <w:trPr>
          <w:trHeight w:val="163" w:hRule="atLeast"/>
        </w:trPr>
        <w:tc>
          <w:tcPr>
            <w:tcW w:w="1858" w:type="dxa"/>
            <w:vMerge w:val="restart"/>
            <w:tcBorders>
              <w:top w:val="nil"/>
              <w:bottom w:val="nil"/>
            </w:tcBorders>
          </w:tcPr>
          <w:p>
            <w:pPr>
              <w:pStyle w:val="TableParagraph"/>
              <w:spacing w:line="176" w:lineRule="exact"/>
              <w:ind w:left="265"/>
              <w:rPr>
                <w:rFonts w:ascii="Trebuchet MS"/>
                <w:i/>
                <w:sz w:val="16"/>
              </w:rPr>
            </w:pPr>
            <w:r>
              <w:rPr>
                <w:rFonts w:ascii="Trebuchet MS"/>
                <w:i/>
                <w:sz w:val="16"/>
              </w:rPr>
              <w:t>able to meet to AECI</w:t>
            </w:r>
          </w:p>
        </w:tc>
        <w:tc>
          <w:tcPr>
            <w:tcW w:w="1133" w:type="dxa"/>
            <w:vMerge w:val="restart"/>
            <w:tcBorders>
              <w:top w:val="nil"/>
              <w:bottom w:val="nil"/>
              <w:right w:val="single" w:sz="4" w:space="0" w:color="000000"/>
            </w:tcBorders>
          </w:tcPr>
          <w:p>
            <w:pPr>
              <w:pStyle w:val="TableParagraph"/>
              <w:spacing w:line="175" w:lineRule="exact"/>
              <w:ind w:left="304"/>
              <w:rPr>
                <w:rFonts w:ascii="Arial"/>
                <w:sz w:val="18"/>
              </w:rPr>
            </w:pPr>
            <w:r>
              <w:rPr>
                <w:rFonts w:ascii="Arial"/>
                <w:sz w:val="18"/>
              </w:rPr>
              <w:t>C5 </w:t>
            </w:r>
            <w:r>
              <w:rPr>
                <w:rFonts w:ascii="Arial"/>
                <w:w w:val="115"/>
                <w:sz w:val="18"/>
              </w:rPr>
              <w:t>/ </w:t>
            </w:r>
            <w:r>
              <w:rPr>
                <w:rFonts w:ascii="Arial"/>
                <w:sz w:val="18"/>
              </w:rPr>
              <w:t>P3</w:t>
            </w: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21" w:type="dxa"/>
            <w:vMerge/>
            <w:tcBorders>
              <w:top w:val="nil"/>
              <w:left w:val="single" w:sz="4" w:space="0" w:color="000000"/>
              <w:bottom w:val="single" w:sz="4" w:space="0" w:color="000000"/>
              <w:right w:val="single" w:sz="4" w:space="0" w:color="000000"/>
            </w:tcBorders>
          </w:tcPr>
          <w:p>
            <w:pPr>
              <w:rPr>
                <w:sz w:val="2"/>
                <w:szCs w:val="2"/>
              </w:rPr>
            </w:pPr>
          </w:p>
        </w:tc>
      </w:tr>
      <w:tr>
        <w:trPr>
          <w:trHeight w:val="23" w:hRule="atLeast"/>
        </w:trPr>
        <w:tc>
          <w:tcPr>
            <w:tcW w:w="1858" w:type="dxa"/>
            <w:vMerge/>
            <w:tcBorders>
              <w:top w:val="nil"/>
              <w:bottom w:val="nil"/>
            </w:tcBorders>
          </w:tcPr>
          <w:p>
            <w:pPr>
              <w:rPr>
                <w:sz w:val="2"/>
                <w:szCs w:val="2"/>
              </w:rPr>
            </w:pPr>
          </w:p>
        </w:tc>
        <w:tc>
          <w:tcPr>
            <w:tcW w:w="1133" w:type="dxa"/>
            <w:vMerge/>
            <w:tcBorders>
              <w:top w:val="nil"/>
              <w:bottom w:val="nil"/>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164"/>
              <w:rPr>
                <w:rFonts w:ascii="Arial"/>
                <w:sz w:val="16"/>
              </w:rPr>
            </w:pPr>
            <w:r>
              <w:rPr>
                <w:rFonts w:ascii="Arial"/>
                <w:sz w:val="16"/>
              </w:rPr>
              <w:t>2020-21</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6"/>
              <w:rPr>
                <w:rFonts w:ascii="Arial"/>
                <w:sz w:val="16"/>
              </w:rPr>
            </w:pPr>
            <w:r>
              <w:rPr>
                <w:rFonts w:ascii="Arial"/>
                <w:sz w:val="16"/>
              </w:rPr>
              <w:t>0.620</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8"/>
              <w:rPr>
                <w:rFonts w:ascii="Arial"/>
                <w:sz w:val="16"/>
              </w:rPr>
            </w:pPr>
            <w:r>
              <w:rPr>
                <w:rFonts w:ascii="Arial"/>
                <w:sz w:val="16"/>
              </w:rPr>
              <w:t>0.351</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6"/>
              <w:rPr>
                <w:rFonts w:ascii="Arial"/>
                <w:sz w:val="16"/>
              </w:rPr>
            </w:pPr>
            <w:r>
              <w:rPr>
                <w:rFonts w:ascii="Arial"/>
                <w:sz w:val="16"/>
              </w:rPr>
              <w:t>0.532</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6"/>
              <w:rPr>
                <w:rFonts w:ascii="Arial"/>
                <w:sz w:val="16"/>
              </w:rPr>
            </w:pPr>
            <w:r>
              <w:rPr>
                <w:rFonts w:ascii="Arial"/>
                <w:sz w:val="16"/>
              </w:rPr>
              <w:t>0.319</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6"/>
              <w:rPr>
                <w:rFonts w:ascii="Arial"/>
                <w:sz w:val="16"/>
              </w:rPr>
            </w:pPr>
            <w:r>
              <w:rPr>
                <w:rFonts w:ascii="Arial"/>
                <w:sz w:val="16"/>
              </w:rPr>
              <w:t>0.465</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5"/>
              <w:rPr>
                <w:rFonts w:ascii="Arial"/>
                <w:sz w:val="16"/>
              </w:rPr>
            </w:pPr>
            <w:r>
              <w:rPr>
                <w:rFonts w:ascii="Arial"/>
                <w:sz w:val="16"/>
              </w:rPr>
              <w:t>0.292</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7"/>
              <w:rPr>
                <w:rFonts w:ascii="Arial"/>
                <w:sz w:val="16"/>
              </w:rPr>
            </w:pPr>
            <w:r>
              <w:rPr>
                <w:rFonts w:ascii="Arial"/>
                <w:sz w:val="16"/>
              </w:rPr>
              <w:t>0.413</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7"/>
              <w:rPr>
                <w:rFonts w:ascii="Arial"/>
                <w:sz w:val="16"/>
              </w:rPr>
            </w:pPr>
            <w:r>
              <w:rPr>
                <w:rFonts w:ascii="Arial"/>
                <w:sz w:val="16"/>
              </w:rPr>
              <w:t>0.250</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5"/>
              <w:rPr>
                <w:rFonts w:ascii="Arial"/>
                <w:sz w:val="16"/>
              </w:rPr>
            </w:pPr>
            <w:r>
              <w:rPr>
                <w:rFonts w:ascii="Arial"/>
                <w:sz w:val="16"/>
              </w:rPr>
              <w:t>0.372</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7"/>
              <w:rPr>
                <w:rFonts w:ascii="Arial"/>
                <w:sz w:val="16"/>
              </w:rPr>
            </w:pPr>
            <w:r>
              <w:rPr>
                <w:rFonts w:ascii="Arial"/>
                <w:sz w:val="16"/>
              </w:rPr>
              <w:t>0.234</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4"/>
              <w:rPr>
                <w:rFonts w:ascii="Arial"/>
                <w:sz w:val="16"/>
              </w:rPr>
            </w:pPr>
            <w:r>
              <w:rPr>
                <w:rFonts w:ascii="Arial"/>
                <w:sz w:val="16"/>
              </w:rPr>
              <w:t>0.372</w:t>
            </w:r>
          </w:p>
        </w:tc>
        <w:tc>
          <w:tcPr>
            <w:tcW w:w="82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30"/>
              <w:rPr>
                <w:rFonts w:ascii="Arial"/>
                <w:sz w:val="16"/>
              </w:rPr>
            </w:pPr>
            <w:r>
              <w:rPr>
                <w:rFonts w:ascii="Arial"/>
                <w:sz w:val="16"/>
              </w:rPr>
              <w:t>0.234</w:t>
            </w:r>
          </w:p>
        </w:tc>
      </w:tr>
      <w:tr>
        <w:trPr>
          <w:trHeight w:val="160" w:hRule="atLeast"/>
        </w:trPr>
        <w:tc>
          <w:tcPr>
            <w:tcW w:w="1858" w:type="dxa"/>
            <w:vMerge w:val="restart"/>
            <w:tcBorders>
              <w:top w:val="nil"/>
              <w:bottom w:val="nil"/>
            </w:tcBorders>
          </w:tcPr>
          <w:p>
            <w:pPr>
              <w:pStyle w:val="TableParagraph"/>
              <w:spacing w:line="168" w:lineRule="exact"/>
              <w:ind w:left="167"/>
              <w:rPr>
                <w:rFonts w:ascii="Trebuchet MS"/>
                <w:i/>
                <w:sz w:val="16"/>
              </w:rPr>
            </w:pPr>
            <w:r>
              <w:rPr>
                <w:rFonts w:ascii="Trebuchet MS"/>
                <w:i/>
                <w:sz w:val="16"/>
              </w:rPr>
              <w:t>based</w:t>
            </w:r>
            <w:r>
              <w:rPr>
                <w:rFonts w:ascii="Trebuchet MS"/>
                <w:i/>
                <w:spacing w:val="-32"/>
                <w:sz w:val="16"/>
              </w:rPr>
              <w:t> </w:t>
            </w:r>
            <w:r>
              <w:rPr>
                <w:rFonts w:ascii="Trebuchet MS"/>
                <w:i/>
                <w:sz w:val="16"/>
              </w:rPr>
              <w:t>on</w:t>
            </w:r>
            <w:r>
              <w:rPr>
                <w:rFonts w:ascii="Trebuchet MS"/>
                <w:i/>
                <w:spacing w:val="-32"/>
                <w:sz w:val="16"/>
              </w:rPr>
              <w:t> </w:t>
            </w:r>
            <w:r>
              <w:rPr>
                <w:rFonts w:ascii="Trebuchet MS"/>
                <w:i/>
                <w:sz w:val="16"/>
              </w:rPr>
              <w:t>20lux</w:t>
            </w:r>
            <w:r>
              <w:rPr>
                <w:rFonts w:ascii="Trebuchet MS"/>
                <w:i/>
                <w:spacing w:val="-30"/>
                <w:sz w:val="16"/>
              </w:rPr>
              <w:t> </w:t>
            </w:r>
            <w:r>
              <w:rPr>
                <w:rFonts w:ascii="Trebuchet MS"/>
                <w:i/>
                <w:sz w:val="16"/>
              </w:rPr>
              <w:t>(e.g.</w:t>
            </w:r>
            <w:r>
              <w:rPr>
                <w:rFonts w:ascii="Trebuchet MS"/>
                <w:i/>
                <w:spacing w:val="-31"/>
                <w:sz w:val="16"/>
              </w:rPr>
              <w:t> </w:t>
            </w:r>
            <w:r>
              <w:rPr>
                <w:rFonts w:ascii="Trebuchet MS"/>
                <w:i/>
                <w:sz w:val="16"/>
              </w:rPr>
              <w:t>via</w:t>
            </w:r>
          </w:p>
        </w:tc>
        <w:tc>
          <w:tcPr>
            <w:tcW w:w="1133" w:type="dxa"/>
            <w:vMerge w:val="restart"/>
            <w:tcBorders>
              <w:top w:val="nil"/>
              <w:bottom w:val="nil"/>
              <w:right w:val="single" w:sz="4" w:space="0" w:color="000000"/>
            </w:tcBorders>
          </w:tcPr>
          <w:p>
            <w:pPr>
              <w:pStyle w:val="TableParagraph"/>
              <w:spacing w:line="176" w:lineRule="exact"/>
              <w:ind w:left="253"/>
              <w:rPr>
                <w:rFonts w:ascii="Arial"/>
                <w:sz w:val="18"/>
              </w:rPr>
            </w:pPr>
            <w:r>
              <w:rPr>
                <w:rFonts w:ascii="Arial"/>
                <w:sz w:val="18"/>
              </w:rPr>
              <w:t>(avg. 7.5</w:t>
            </w: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21" w:type="dxa"/>
            <w:vMerge/>
            <w:tcBorders>
              <w:top w:val="nil"/>
              <w:left w:val="single" w:sz="4" w:space="0" w:color="000000"/>
              <w:bottom w:val="single" w:sz="4" w:space="0" w:color="000000"/>
              <w:right w:val="single" w:sz="4" w:space="0" w:color="000000"/>
            </w:tcBorders>
          </w:tcPr>
          <w:p>
            <w:pPr>
              <w:rPr>
                <w:sz w:val="2"/>
                <w:szCs w:val="2"/>
              </w:rPr>
            </w:pPr>
          </w:p>
        </w:tc>
      </w:tr>
      <w:tr>
        <w:trPr>
          <w:trHeight w:val="25" w:hRule="atLeast"/>
        </w:trPr>
        <w:tc>
          <w:tcPr>
            <w:tcW w:w="1858" w:type="dxa"/>
            <w:vMerge/>
            <w:tcBorders>
              <w:top w:val="nil"/>
              <w:bottom w:val="nil"/>
            </w:tcBorders>
          </w:tcPr>
          <w:p>
            <w:pPr>
              <w:rPr>
                <w:sz w:val="2"/>
                <w:szCs w:val="2"/>
              </w:rPr>
            </w:pPr>
          </w:p>
        </w:tc>
        <w:tc>
          <w:tcPr>
            <w:tcW w:w="1133" w:type="dxa"/>
            <w:vMerge/>
            <w:tcBorders>
              <w:top w:val="nil"/>
              <w:bottom w:val="nil"/>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9"/>
              <w:ind w:left="164"/>
              <w:rPr>
                <w:rFonts w:ascii="Arial"/>
                <w:sz w:val="16"/>
              </w:rPr>
            </w:pPr>
            <w:r>
              <w:rPr>
                <w:rFonts w:ascii="Arial"/>
                <w:sz w:val="16"/>
              </w:rPr>
              <w:t>2022-23</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9"/>
              <w:ind w:left="246"/>
              <w:rPr>
                <w:rFonts w:ascii="Arial"/>
                <w:sz w:val="16"/>
              </w:rPr>
            </w:pPr>
            <w:r>
              <w:rPr>
                <w:rFonts w:ascii="Arial"/>
                <w:sz w:val="16"/>
              </w:rPr>
              <w:t>0.551</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9"/>
              <w:ind w:left="248"/>
              <w:rPr>
                <w:rFonts w:ascii="Arial"/>
                <w:sz w:val="16"/>
              </w:rPr>
            </w:pPr>
            <w:r>
              <w:rPr>
                <w:rFonts w:ascii="Arial"/>
                <w:sz w:val="16"/>
              </w:rPr>
              <w:t>0.312</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9"/>
              <w:ind w:left="246"/>
              <w:rPr>
                <w:rFonts w:ascii="Arial"/>
                <w:sz w:val="16"/>
              </w:rPr>
            </w:pPr>
            <w:r>
              <w:rPr>
                <w:rFonts w:ascii="Arial"/>
                <w:sz w:val="16"/>
              </w:rPr>
              <w:t>0.473</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9"/>
              <w:ind w:left="246"/>
              <w:rPr>
                <w:rFonts w:ascii="Arial"/>
                <w:sz w:val="16"/>
              </w:rPr>
            </w:pPr>
            <w:r>
              <w:rPr>
                <w:rFonts w:ascii="Arial"/>
                <w:sz w:val="16"/>
              </w:rPr>
              <w:t>0.284</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9"/>
              <w:ind w:left="246"/>
              <w:rPr>
                <w:rFonts w:ascii="Arial"/>
                <w:sz w:val="16"/>
              </w:rPr>
            </w:pPr>
            <w:r>
              <w:rPr>
                <w:rFonts w:ascii="Arial"/>
                <w:sz w:val="16"/>
              </w:rPr>
              <w:t>0.413</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9"/>
              <w:ind w:left="245"/>
              <w:rPr>
                <w:rFonts w:ascii="Arial"/>
                <w:sz w:val="16"/>
              </w:rPr>
            </w:pPr>
            <w:r>
              <w:rPr>
                <w:rFonts w:ascii="Arial"/>
                <w:sz w:val="16"/>
              </w:rPr>
              <w:t>0.260</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9"/>
              <w:ind w:left="247"/>
              <w:rPr>
                <w:rFonts w:ascii="Arial"/>
                <w:sz w:val="16"/>
              </w:rPr>
            </w:pPr>
            <w:r>
              <w:rPr>
                <w:rFonts w:ascii="Arial"/>
                <w:sz w:val="16"/>
              </w:rPr>
              <w:t>0.368</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9"/>
              <w:ind w:left="247"/>
              <w:rPr>
                <w:rFonts w:ascii="Arial"/>
                <w:sz w:val="16"/>
              </w:rPr>
            </w:pPr>
            <w:r>
              <w:rPr>
                <w:rFonts w:ascii="Arial"/>
                <w:sz w:val="16"/>
              </w:rPr>
              <w:t>0.223</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9"/>
              <w:ind w:left="245"/>
              <w:rPr>
                <w:rFonts w:ascii="Arial"/>
                <w:sz w:val="16"/>
              </w:rPr>
            </w:pPr>
            <w:r>
              <w:rPr>
                <w:rFonts w:ascii="Arial"/>
                <w:sz w:val="16"/>
              </w:rPr>
              <w:t>0.331</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9"/>
              <w:ind w:left="247"/>
              <w:rPr>
                <w:rFonts w:ascii="Arial"/>
                <w:sz w:val="16"/>
              </w:rPr>
            </w:pPr>
            <w:r>
              <w:rPr>
                <w:rFonts w:ascii="Arial"/>
                <w:sz w:val="16"/>
              </w:rPr>
              <w:t>0.208</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9"/>
              <w:ind w:left="244"/>
              <w:rPr>
                <w:rFonts w:ascii="Arial"/>
                <w:sz w:val="16"/>
              </w:rPr>
            </w:pPr>
            <w:r>
              <w:rPr>
                <w:rFonts w:ascii="Arial"/>
                <w:sz w:val="16"/>
              </w:rPr>
              <w:t>0.331</w:t>
            </w:r>
          </w:p>
        </w:tc>
        <w:tc>
          <w:tcPr>
            <w:tcW w:w="82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9"/>
              <w:ind w:left="230"/>
              <w:rPr>
                <w:rFonts w:ascii="Arial"/>
                <w:sz w:val="16"/>
              </w:rPr>
            </w:pPr>
            <w:r>
              <w:rPr>
                <w:rFonts w:ascii="Arial"/>
                <w:sz w:val="16"/>
              </w:rPr>
              <w:t>0.208</w:t>
            </w:r>
          </w:p>
        </w:tc>
      </w:tr>
      <w:tr>
        <w:trPr>
          <w:trHeight w:val="213" w:hRule="atLeast"/>
        </w:trPr>
        <w:tc>
          <w:tcPr>
            <w:tcW w:w="1858" w:type="dxa"/>
            <w:tcBorders>
              <w:top w:val="nil"/>
              <w:bottom w:val="nil"/>
            </w:tcBorders>
          </w:tcPr>
          <w:p>
            <w:pPr>
              <w:pStyle w:val="TableParagraph"/>
              <w:spacing w:line="156" w:lineRule="exact"/>
              <w:ind w:left="273"/>
              <w:rPr>
                <w:rFonts w:ascii="Trebuchet MS"/>
                <w:i/>
                <w:sz w:val="16"/>
              </w:rPr>
            </w:pPr>
            <w:r>
              <w:rPr>
                <w:rFonts w:ascii="Trebuchet MS"/>
                <w:i/>
                <w:sz w:val="16"/>
              </w:rPr>
              <w:t>improved dimming).</w:t>
            </w:r>
          </w:p>
        </w:tc>
        <w:tc>
          <w:tcPr>
            <w:tcW w:w="1133" w:type="dxa"/>
            <w:tcBorders>
              <w:top w:val="nil"/>
              <w:right w:val="single" w:sz="4" w:space="0" w:color="000000"/>
            </w:tcBorders>
          </w:tcPr>
          <w:p>
            <w:pPr>
              <w:pStyle w:val="TableParagraph"/>
              <w:spacing w:line="194" w:lineRule="exact"/>
              <w:ind w:left="47" w:right="39"/>
              <w:jc w:val="center"/>
              <w:rPr>
                <w:rFonts w:ascii="Arial"/>
                <w:sz w:val="18"/>
              </w:rPr>
            </w:pPr>
            <w:r>
              <w:rPr>
                <w:rFonts w:ascii="Arial"/>
                <w:sz w:val="18"/>
              </w:rPr>
              <w:t>lux)</w:t>
            </w: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21" w:type="dxa"/>
            <w:vMerge/>
            <w:tcBorders>
              <w:top w:val="nil"/>
              <w:left w:val="single" w:sz="4" w:space="0" w:color="000000"/>
              <w:bottom w:val="single" w:sz="4" w:space="0" w:color="000000"/>
              <w:right w:val="single" w:sz="4" w:space="0" w:color="000000"/>
            </w:tcBorders>
          </w:tcPr>
          <w:p>
            <w:pPr>
              <w:rPr>
                <w:sz w:val="2"/>
                <w:szCs w:val="2"/>
              </w:rPr>
            </w:pPr>
          </w:p>
        </w:tc>
      </w:tr>
      <w:tr>
        <w:trPr>
          <w:trHeight w:val="196" w:hRule="atLeast"/>
        </w:trPr>
        <w:tc>
          <w:tcPr>
            <w:tcW w:w="1858" w:type="dxa"/>
            <w:vMerge w:val="restart"/>
            <w:tcBorders>
              <w:top w:val="nil"/>
              <w:bottom w:val="nil"/>
            </w:tcBorders>
          </w:tcPr>
          <w:p>
            <w:pPr>
              <w:pStyle w:val="TableParagraph"/>
              <w:spacing w:line="176" w:lineRule="exact" w:before="127"/>
              <w:ind w:left="239"/>
              <w:rPr>
                <w:rFonts w:ascii="Trebuchet MS"/>
                <w:i/>
                <w:sz w:val="16"/>
              </w:rPr>
            </w:pPr>
            <w:r>
              <w:rPr>
                <w:rFonts w:ascii="Trebuchet MS"/>
                <w:i/>
                <w:sz w:val="16"/>
              </w:rPr>
              <w:t>Note that for M-class</w:t>
            </w:r>
          </w:p>
        </w:tc>
        <w:tc>
          <w:tcPr>
            <w:tcW w:w="1133" w:type="dxa"/>
            <w:vMerge w:val="restart"/>
            <w:tcBorders>
              <w:bottom w:val="nil"/>
              <w:right w:val="single" w:sz="4" w:space="0" w:color="000000"/>
            </w:tcBorders>
          </w:tcPr>
          <w:p>
            <w:pPr>
              <w:pStyle w:val="TableParagraph"/>
              <w:spacing w:before="85"/>
              <w:ind w:left="47" w:right="36"/>
              <w:jc w:val="center"/>
              <w:rPr>
                <w:rFonts w:ascii="Arial"/>
                <w:sz w:val="18"/>
              </w:rPr>
            </w:pPr>
            <w:r>
              <w:rPr>
                <w:rFonts w:ascii="Arial"/>
                <w:w w:val="95"/>
                <w:sz w:val="18"/>
              </w:rPr>
              <w:t>P4</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9" w:right="94"/>
              <w:jc w:val="center"/>
              <w:rPr>
                <w:rFonts w:ascii="Arial"/>
                <w:sz w:val="16"/>
              </w:rPr>
            </w:pPr>
            <w:r>
              <w:rPr>
                <w:rFonts w:ascii="Arial"/>
                <w:sz w:val="16"/>
              </w:rPr>
              <w:t>2018-19</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07" w:right="187"/>
              <w:jc w:val="center"/>
              <w:rPr>
                <w:rFonts w:ascii="Arial"/>
                <w:sz w:val="16"/>
              </w:rPr>
            </w:pPr>
            <w:r>
              <w:rPr>
                <w:rFonts w:ascii="Arial"/>
                <w:sz w:val="16"/>
              </w:rPr>
              <w:t>0.469</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6" w:right="94"/>
              <w:jc w:val="center"/>
              <w:rPr>
                <w:rFonts w:ascii="Arial"/>
                <w:sz w:val="16"/>
              </w:rPr>
            </w:pPr>
            <w:r>
              <w:rPr>
                <w:rFonts w:ascii="Arial"/>
                <w:sz w:val="16"/>
              </w:rPr>
              <w:t>0.264</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07" w:right="187"/>
              <w:jc w:val="center"/>
              <w:rPr>
                <w:rFonts w:ascii="Arial"/>
                <w:sz w:val="16"/>
              </w:rPr>
            </w:pPr>
            <w:r>
              <w:rPr>
                <w:rFonts w:ascii="Arial"/>
                <w:sz w:val="16"/>
              </w:rPr>
              <w:t>0.402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1" w:right="94"/>
              <w:jc w:val="center"/>
              <w:rPr>
                <w:rFonts w:ascii="Arial"/>
                <w:sz w:val="16"/>
              </w:rPr>
            </w:pPr>
            <w:r>
              <w:rPr>
                <w:rFonts w:ascii="Arial"/>
                <w:sz w:val="16"/>
              </w:rPr>
              <w:t>0.240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07" w:right="188"/>
              <w:jc w:val="center"/>
              <w:rPr>
                <w:rFonts w:ascii="Arial"/>
                <w:sz w:val="16"/>
              </w:rPr>
            </w:pPr>
            <w:r>
              <w:rPr>
                <w:rFonts w:ascii="Arial"/>
                <w:sz w:val="16"/>
              </w:rPr>
              <w:t>0.351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06" w:right="188"/>
              <w:jc w:val="center"/>
              <w:rPr>
                <w:rFonts w:ascii="Arial"/>
                <w:sz w:val="16"/>
              </w:rPr>
            </w:pPr>
            <w:r>
              <w:rPr>
                <w:rFonts w:ascii="Arial"/>
                <w:sz w:val="16"/>
              </w:rPr>
              <w:t>0.220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07" w:right="184"/>
              <w:jc w:val="center"/>
              <w:rPr>
                <w:rFonts w:ascii="Arial"/>
                <w:sz w:val="16"/>
              </w:rPr>
            </w:pPr>
            <w:r>
              <w:rPr>
                <w:rFonts w:ascii="Arial"/>
                <w:sz w:val="16"/>
              </w:rPr>
              <w:t>0.312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4" w:right="94"/>
              <w:jc w:val="center"/>
              <w:rPr>
                <w:rFonts w:ascii="Arial"/>
                <w:sz w:val="16"/>
              </w:rPr>
            </w:pPr>
            <w:r>
              <w:rPr>
                <w:rFonts w:ascii="Arial"/>
                <w:sz w:val="16"/>
              </w:rPr>
              <w:t>0.189</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05" w:right="188"/>
              <w:jc w:val="center"/>
              <w:rPr>
                <w:rFonts w:ascii="Arial"/>
                <w:sz w:val="16"/>
              </w:rPr>
            </w:pPr>
            <w:r>
              <w:rPr>
                <w:rFonts w:ascii="Arial"/>
                <w:sz w:val="16"/>
              </w:rPr>
              <w:t>0.281</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3" w:right="94"/>
              <w:jc w:val="center"/>
              <w:rPr>
                <w:rFonts w:ascii="Arial"/>
                <w:sz w:val="16"/>
              </w:rPr>
            </w:pPr>
            <w:r>
              <w:rPr>
                <w:rFonts w:ascii="Arial"/>
                <w:sz w:val="16"/>
              </w:rPr>
              <w:t>0.176</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05" w:right="188"/>
              <w:jc w:val="center"/>
              <w:rPr>
                <w:rFonts w:ascii="Arial"/>
                <w:sz w:val="16"/>
              </w:rPr>
            </w:pPr>
            <w:r>
              <w:rPr>
                <w:rFonts w:ascii="Arial"/>
                <w:sz w:val="16"/>
              </w:rPr>
              <w:t>0.281</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93" w:right="177"/>
              <w:jc w:val="center"/>
              <w:rPr>
                <w:rFonts w:ascii="Arial"/>
                <w:sz w:val="16"/>
              </w:rPr>
            </w:pPr>
            <w:r>
              <w:rPr>
                <w:rFonts w:ascii="Arial"/>
                <w:sz w:val="16"/>
              </w:rPr>
              <w:t>0.176</w:t>
            </w:r>
          </w:p>
        </w:tc>
      </w:tr>
      <w:tr>
        <w:trPr>
          <w:trHeight w:val="117" w:hRule="atLeast"/>
        </w:trPr>
        <w:tc>
          <w:tcPr>
            <w:tcW w:w="1858" w:type="dxa"/>
            <w:vMerge/>
            <w:tcBorders>
              <w:top w:val="nil"/>
              <w:bottom w:val="nil"/>
            </w:tcBorders>
          </w:tcPr>
          <w:p>
            <w:pPr>
              <w:rPr>
                <w:sz w:val="2"/>
                <w:szCs w:val="2"/>
              </w:rPr>
            </w:pPr>
          </w:p>
        </w:tc>
        <w:tc>
          <w:tcPr>
            <w:tcW w:w="1133" w:type="dxa"/>
            <w:vMerge/>
            <w:tcBorders>
              <w:top w:val="nil"/>
              <w:bottom w:val="nil"/>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164"/>
              <w:rPr>
                <w:rFonts w:ascii="Arial"/>
                <w:sz w:val="16"/>
              </w:rPr>
            </w:pPr>
            <w:r>
              <w:rPr>
                <w:rFonts w:ascii="Arial"/>
                <w:sz w:val="16"/>
              </w:rPr>
              <w:t>2020-21</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6"/>
              <w:rPr>
                <w:rFonts w:ascii="Arial"/>
                <w:sz w:val="16"/>
              </w:rPr>
            </w:pPr>
            <w:r>
              <w:rPr>
                <w:rFonts w:ascii="Arial"/>
                <w:sz w:val="16"/>
              </w:rPr>
              <w:t>0.413</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8"/>
              <w:rPr>
                <w:rFonts w:ascii="Arial"/>
                <w:sz w:val="16"/>
              </w:rPr>
            </w:pPr>
            <w:r>
              <w:rPr>
                <w:rFonts w:ascii="Arial"/>
                <w:sz w:val="16"/>
              </w:rPr>
              <w:t>0.234</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6"/>
              <w:rPr>
                <w:rFonts w:ascii="Arial"/>
                <w:sz w:val="16"/>
              </w:rPr>
            </w:pPr>
            <w:r>
              <w:rPr>
                <w:rFonts w:ascii="Arial"/>
                <w:sz w:val="16"/>
              </w:rPr>
              <w:t>0.354</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6"/>
              <w:rPr>
                <w:rFonts w:ascii="Arial"/>
                <w:sz w:val="16"/>
              </w:rPr>
            </w:pPr>
            <w:r>
              <w:rPr>
                <w:rFonts w:ascii="Arial"/>
                <w:sz w:val="16"/>
              </w:rPr>
              <w:t>0.212</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6"/>
              <w:rPr>
                <w:rFonts w:ascii="Arial"/>
                <w:sz w:val="16"/>
              </w:rPr>
            </w:pPr>
            <w:r>
              <w:rPr>
                <w:rFonts w:ascii="Arial"/>
                <w:sz w:val="16"/>
              </w:rPr>
              <w:t>0.310</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5"/>
              <w:rPr>
                <w:rFonts w:ascii="Arial"/>
                <w:sz w:val="16"/>
              </w:rPr>
            </w:pPr>
            <w:r>
              <w:rPr>
                <w:rFonts w:ascii="Arial"/>
                <w:sz w:val="16"/>
              </w:rPr>
              <w:t>0.195</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7"/>
              <w:rPr>
                <w:rFonts w:ascii="Arial"/>
                <w:sz w:val="16"/>
              </w:rPr>
            </w:pPr>
            <w:r>
              <w:rPr>
                <w:rFonts w:ascii="Arial"/>
                <w:sz w:val="16"/>
              </w:rPr>
              <w:t>0.276</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7"/>
              <w:rPr>
                <w:rFonts w:ascii="Arial"/>
                <w:sz w:val="16"/>
              </w:rPr>
            </w:pPr>
            <w:r>
              <w:rPr>
                <w:rFonts w:ascii="Arial"/>
                <w:sz w:val="16"/>
              </w:rPr>
              <w:t>0.167</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5"/>
              <w:rPr>
                <w:rFonts w:ascii="Arial"/>
                <w:sz w:val="16"/>
              </w:rPr>
            </w:pPr>
            <w:r>
              <w:rPr>
                <w:rFonts w:ascii="Arial"/>
                <w:sz w:val="16"/>
              </w:rPr>
              <w:t>0.248</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7"/>
              <w:rPr>
                <w:rFonts w:ascii="Arial"/>
                <w:sz w:val="16"/>
              </w:rPr>
            </w:pPr>
            <w:r>
              <w:rPr>
                <w:rFonts w:ascii="Arial"/>
                <w:sz w:val="16"/>
              </w:rPr>
              <w:t>0.156</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44"/>
              <w:rPr>
                <w:rFonts w:ascii="Arial"/>
                <w:sz w:val="16"/>
              </w:rPr>
            </w:pPr>
            <w:r>
              <w:rPr>
                <w:rFonts w:ascii="Arial"/>
                <w:sz w:val="16"/>
              </w:rPr>
              <w:t>0.248</w:t>
            </w:r>
          </w:p>
        </w:tc>
        <w:tc>
          <w:tcPr>
            <w:tcW w:w="82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1"/>
              <w:ind w:left="230"/>
              <w:rPr>
                <w:rFonts w:ascii="Arial"/>
                <w:sz w:val="16"/>
              </w:rPr>
            </w:pPr>
            <w:r>
              <w:rPr>
                <w:rFonts w:ascii="Arial"/>
                <w:sz w:val="16"/>
              </w:rPr>
              <w:t>0.156</w:t>
            </w:r>
          </w:p>
        </w:tc>
      </w:tr>
      <w:tr>
        <w:trPr>
          <w:trHeight w:val="66" w:hRule="atLeast"/>
        </w:trPr>
        <w:tc>
          <w:tcPr>
            <w:tcW w:w="1858" w:type="dxa"/>
            <w:vMerge w:val="restart"/>
            <w:tcBorders>
              <w:top w:val="nil"/>
              <w:bottom w:val="nil"/>
            </w:tcBorders>
          </w:tcPr>
          <w:p>
            <w:pPr>
              <w:pStyle w:val="TableParagraph"/>
              <w:spacing w:line="174" w:lineRule="exact"/>
              <w:ind w:left="249"/>
              <w:rPr>
                <w:rFonts w:ascii="Trebuchet MS"/>
                <w:i/>
                <w:sz w:val="16"/>
              </w:rPr>
            </w:pPr>
            <w:r>
              <w:rPr>
                <w:rFonts w:ascii="Trebuchet MS"/>
                <w:i/>
                <w:sz w:val="16"/>
              </w:rPr>
              <w:t>roads, the luminance</w:t>
            </w:r>
          </w:p>
        </w:tc>
        <w:tc>
          <w:tcPr>
            <w:tcW w:w="1133" w:type="dxa"/>
            <w:vMerge w:val="restart"/>
            <w:tcBorders>
              <w:top w:val="nil"/>
              <w:bottom w:val="nil"/>
              <w:right w:val="single" w:sz="4" w:space="0" w:color="000000"/>
            </w:tcBorders>
          </w:tcPr>
          <w:p>
            <w:pPr>
              <w:pStyle w:val="TableParagraph"/>
              <w:spacing w:line="175" w:lineRule="exact"/>
              <w:ind w:left="167"/>
              <w:rPr>
                <w:rFonts w:ascii="Arial"/>
                <w:sz w:val="18"/>
              </w:rPr>
            </w:pPr>
            <w:r>
              <w:rPr>
                <w:rFonts w:ascii="Arial"/>
                <w:sz w:val="18"/>
              </w:rPr>
              <w:t>(avg. 5 lux)</w:t>
            </w: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21" w:type="dxa"/>
            <w:vMerge/>
            <w:tcBorders>
              <w:top w:val="nil"/>
              <w:left w:val="single" w:sz="4" w:space="0" w:color="000000"/>
              <w:bottom w:val="single" w:sz="4" w:space="0" w:color="000000"/>
              <w:right w:val="single" w:sz="4" w:space="0" w:color="000000"/>
            </w:tcBorders>
          </w:tcPr>
          <w:p>
            <w:pPr>
              <w:rPr>
                <w:sz w:val="2"/>
                <w:szCs w:val="2"/>
              </w:rPr>
            </w:pPr>
          </w:p>
        </w:tc>
      </w:tr>
      <w:tr>
        <w:trPr>
          <w:trHeight w:val="119" w:hRule="atLeast"/>
        </w:trPr>
        <w:tc>
          <w:tcPr>
            <w:tcW w:w="1858" w:type="dxa"/>
            <w:vMerge/>
            <w:tcBorders>
              <w:top w:val="nil"/>
              <w:bottom w:val="nil"/>
            </w:tcBorders>
          </w:tcPr>
          <w:p>
            <w:pPr>
              <w:rPr>
                <w:sz w:val="2"/>
                <w:szCs w:val="2"/>
              </w:rPr>
            </w:pPr>
          </w:p>
        </w:tc>
        <w:tc>
          <w:tcPr>
            <w:tcW w:w="1133" w:type="dxa"/>
            <w:vMerge/>
            <w:tcBorders>
              <w:top w:val="nil"/>
              <w:bottom w:val="nil"/>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left="164"/>
              <w:rPr>
                <w:rFonts w:ascii="Arial"/>
                <w:sz w:val="16"/>
              </w:rPr>
            </w:pPr>
            <w:r>
              <w:rPr>
                <w:rFonts w:ascii="Arial"/>
                <w:sz w:val="16"/>
              </w:rPr>
              <w:t>2022-23</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left="246"/>
              <w:rPr>
                <w:rFonts w:ascii="Arial"/>
                <w:sz w:val="16"/>
              </w:rPr>
            </w:pPr>
            <w:r>
              <w:rPr>
                <w:rFonts w:ascii="Arial"/>
                <w:sz w:val="16"/>
              </w:rPr>
              <w:t>0.368</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left="248"/>
              <w:rPr>
                <w:rFonts w:ascii="Arial"/>
                <w:sz w:val="16"/>
              </w:rPr>
            </w:pPr>
            <w:r>
              <w:rPr>
                <w:rFonts w:ascii="Arial"/>
                <w:sz w:val="16"/>
              </w:rPr>
              <w:t>0.208</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left="246"/>
              <w:rPr>
                <w:rFonts w:ascii="Arial"/>
                <w:sz w:val="16"/>
              </w:rPr>
            </w:pPr>
            <w:r>
              <w:rPr>
                <w:rFonts w:ascii="Arial"/>
                <w:sz w:val="16"/>
              </w:rPr>
              <w:t>0.315</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left="246"/>
              <w:rPr>
                <w:rFonts w:ascii="Arial"/>
                <w:sz w:val="16"/>
              </w:rPr>
            </w:pPr>
            <w:r>
              <w:rPr>
                <w:rFonts w:ascii="Arial"/>
                <w:sz w:val="16"/>
              </w:rPr>
              <w:t>0.189</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left="246"/>
              <w:rPr>
                <w:rFonts w:ascii="Arial"/>
                <w:sz w:val="16"/>
              </w:rPr>
            </w:pPr>
            <w:r>
              <w:rPr>
                <w:rFonts w:ascii="Arial"/>
                <w:sz w:val="16"/>
              </w:rPr>
              <w:t>0.276</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left="245"/>
              <w:rPr>
                <w:rFonts w:ascii="Arial"/>
                <w:sz w:val="16"/>
              </w:rPr>
            </w:pPr>
            <w:r>
              <w:rPr>
                <w:rFonts w:ascii="Arial"/>
                <w:sz w:val="16"/>
              </w:rPr>
              <w:t>0.173</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left="247"/>
              <w:rPr>
                <w:rFonts w:ascii="Arial"/>
                <w:sz w:val="16"/>
              </w:rPr>
            </w:pPr>
            <w:r>
              <w:rPr>
                <w:rFonts w:ascii="Arial"/>
                <w:sz w:val="16"/>
              </w:rPr>
              <w:t>0.245</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left="247"/>
              <w:rPr>
                <w:rFonts w:ascii="Arial"/>
                <w:sz w:val="16"/>
              </w:rPr>
            </w:pPr>
            <w:r>
              <w:rPr>
                <w:rFonts w:ascii="Arial"/>
                <w:sz w:val="16"/>
              </w:rPr>
              <w:t>0.149</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left="245"/>
              <w:rPr>
                <w:rFonts w:ascii="Arial"/>
                <w:sz w:val="16"/>
              </w:rPr>
            </w:pPr>
            <w:r>
              <w:rPr>
                <w:rFonts w:ascii="Arial"/>
                <w:sz w:val="16"/>
              </w:rPr>
              <w:t>0.221</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left="247"/>
              <w:rPr>
                <w:rFonts w:ascii="Arial"/>
                <w:sz w:val="16"/>
              </w:rPr>
            </w:pPr>
            <w:r>
              <w:rPr>
                <w:rFonts w:ascii="Arial"/>
                <w:sz w:val="16"/>
              </w:rPr>
              <w:t>0.139</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left="244"/>
              <w:rPr>
                <w:rFonts w:ascii="Arial"/>
                <w:sz w:val="16"/>
              </w:rPr>
            </w:pPr>
            <w:r>
              <w:rPr>
                <w:rFonts w:ascii="Arial"/>
                <w:sz w:val="16"/>
              </w:rPr>
              <w:t>0.221</w:t>
            </w:r>
          </w:p>
        </w:tc>
        <w:tc>
          <w:tcPr>
            <w:tcW w:w="82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left="230"/>
              <w:rPr>
                <w:rFonts w:ascii="Arial"/>
                <w:sz w:val="16"/>
              </w:rPr>
            </w:pPr>
            <w:r>
              <w:rPr>
                <w:rFonts w:ascii="Arial"/>
                <w:sz w:val="16"/>
              </w:rPr>
              <w:t>0.139</w:t>
            </w:r>
          </w:p>
        </w:tc>
      </w:tr>
      <w:tr>
        <w:trPr>
          <w:trHeight w:val="67" w:hRule="atLeast"/>
        </w:trPr>
        <w:tc>
          <w:tcPr>
            <w:tcW w:w="1858" w:type="dxa"/>
            <w:vMerge w:val="restart"/>
            <w:tcBorders>
              <w:top w:val="nil"/>
              <w:bottom w:val="nil"/>
            </w:tcBorders>
          </w:tcPr>
          <w:p>
            <w:pPr>
              <w:pStyle w:val="TableParagraph"/>
              <w:spacing w:line="162" w:lineRule="exact"/>
              <w:ind w:left="232"/>
              <w:rPr>
                <w:rFonts w:ascii="Trebuchet MS"/>
                <w:i/>
                <w:sz w:val="16"/>
              </w:rPr>
            </w:pPr>
            <w:r>
              <w:rPr>
                <w:rFonts w:ascii="Trebuchet MS"/>
                <w:i/>
                <w:sz w:val="16"/>
              </w:rPr>
              <w:t>needs to be specified,</w:t>
            </w:r>
          </w:p>
        </w:tc>
        <w:tc>
          <w:tcPr>
            <w:tcW w:w="1133" w:type="dxa"/>
            <w:tcBorders>
              <w:top w:val="nil"/>
              <w:right w:val="single" w:sz="4" w:space="0" w:color="000000"/>
            </w:tcBorders>
          </w:tcPr>
          <w:p>
            <w:pPr>
              <w:pStyle w:val="TableParagraph"/>
              <w:ind w:left="0"/>
              <w:rPr>
                <w:sz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21" w:type="dxa"/>
            <w:vMerge/>
            <w:tcBorders>
              <w:top w:val="nil"/>
              <w:left w:val="single" w:sz="4" w:space="0" w:color="000000"/>
              <w:bottom w:val="single" w:sz="4" w:space="0" w:color="000000"/>
              <w:right w:val="single" w:sz="4" w:space="0" w:color="000000"/>
            </w:tcBorders>
          </w:tcPr>
          <w:p>
            <w:pPr>
              <w:rPr>
                <w:sz w:val="2"/>
                <w:szCs w:val="2"/>
              </w:rPr>
            </w:pPr>
          </w:p>
        </w:tc>
      </w:tr>
      <w:tr>
        <w:trPr>
          <w:trHeight w:val="94" w:hRule="atLeast"/>
        </w:trPr>
        <w:tc>
          <w:tcPr>
            <w:tcW w:w="1858" w:type="dxa"/>
            <w:vMerge/>
            <w:tcBorders>
              <w:top w:val="nil"/>
              <w:bottom w:val="nil"/>
            </w:tcBorders>
          </w:tcPr>
          <w:p>
            <w:pPr>
              <w:rPr>
                <w:sz w:val="2"/>
                <w:szCs w:val="2"/>
              </w:rPr>
            </w:pPr>
          </w:p>
        </w:tc>
        <w:tc>
          <w:tcPr>
            <w:tcW w:w="1133" w:type="dxa"/>
            <w:tcBorders>
              <w:bottom w:val="nil"/>
              <w:right w:val="single" w:sz="4" w:space="0" w:color="000000"/>
            </w:tcBorders>
          </w:tcPr>
          <w:p>
            <w:pPr>
              <w:pStyle w:val="TableParagraph"/>
              <w:ind w:left="0"/>
              <w:rPr>
                <w:sz w:val="4"/>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64"/>
              <w:rPr>
                <w:rFonts w:ascii="Arial"/>
                <w:sz w:val="16"/>
              </w:rPr>
            </w:pPr>
            <w:r>
              <w:rPr>
                <w:rFonts w:ascii="Arial"/>
                <w:sz w:val="16"/>
              </w:rPr>
              <w:t>2018-19</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6"/>
              <w:rPr>
                <w:rFonts w:ascii="Arial"/>
                <w:sz w:val="16"/>
              </w:rPr>
            </w:pPr>
            <w:r>
              <w:rPr>
                <w:rFonts w:ascii="Arial"/>
                <w:sz w:val="16"/>
              </w:rPr>
              <w:t>0.281</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8"/>
              <w:rPr>
                <w:rFonts w:ascii="Arial"/>
                <w:sz w:val="16"/>
              </w:rPr>
            </w:pPr>
            <w:r>
              <w:rPr>
                <w:rFonts w:ascii="Arial"/>
                <w:sz w:val="16"/>
              </w:rPr>
              <w:t>0.159</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6"/>
              <w:rPr>
                <w:rFonts w:ascii="Arial"/>
                <w:sz w:val="16"/>
              </w:rPr>
            </w:pPr>
            <w:r>
              <w:rPr>
                <w:rFonts w:ascii="Arial"/>
                <w:sz w:val="16"/>
              </w:rPr>
              <w:t>0.241</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6"/>
              <w:rPr>
                <w:rFonts w:ascii="Arial"/>
                <w:sz w:val="16"/>
              </w:rPr>
            </w:pPr>
            <w:r>
              <w:rPr>
                <w:rFonts w:ascii="Arial"/>
                <w:sz w:val="16"/>
              </w:rPr>
              <w:t>0.144</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6"/>
              <w:rPr>
                <w:rFonts w:ascii="Arial"/>
                <w:sz w:val="16"/>
              </w:rPr>
            </w:pPr>
            <w:r>
              <w:rPr>
                <w:rFonts w:ascii="Arial"/>
                <w:sz w:val="16"/>
              </w:rPr>
              <w:t>0.211</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5"/>
              <w:rPr>
                <w:rFonts w:ascii="Arial"/>
                <w:sz w:val="16"/>
              </w:rPr>
            </w:pPr>
            <w:r>
              <w:rPr>
                <w:rFonts w:ascii="Arial"/>
                <w:sz w:val="16"/>
              </w:rPr>
              <w:t>0.132</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7"/>
              <w:rPr>
                <w:rFonts w:ascii="Arial"/>
                <w:sz w:val="16"/>
              </w:rPr>
            </w:pPr>
            <w:r>
              <w:rPr>
                <w:rFonts w:ascii="Arial"/>
                <w:sz w:val="16"/>
              </w:rPr>
              <w:t>0.187</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7"/>
              <w:rPr>
                <w:rFonts w:ascii="Arial"/>
                <w:sz w:val="16"/>
              </w:rPr>
            </w:pPr>
            <w:r>
              <w:rPr>
                <w:rFonts w:ascii="Arial"/>
                <w:sz w:val="16"/>
              </w:rPr>
              <w:t>0.113</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5"/>
              <w:rPr>
                <w:rFonts w:ascii="Arial"/>
                <w:sz w:val="16"/>
              </w:rPr>
            </w:pPr>
            <w:r>
              <w:rPr>
                <w:rFonts w:ascii="Arial"/>
                <w:sz w:val="16"/>
              </w:rPr>
              <w:t>0.169</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7"/>
              <w:rPr>
                <w:rFonts w:ascii="Arial"/>
                <w:sz w:val="16"/>
              </w:rPr>
            </w:pPr>
            <w:r>
              <w:rPr>
                <w:rFonts w:ascii="Arial"/>
                <w:sz w:val="16"/>
              </w:rPr>
              <w:t>0.106</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44"/>
              <w:rPr>
                <w:rFonts w:ascii="Arial"/>
                <w:sz w:val="16"/>
              </w:rPr>
            </w:pPr>
            <w:r>
              <w:rPr>
                <w:rFonts w:ascii="Arial"/>
                <w:sz w:val="16"/>
              </w:rPr>
              <w:t>0.169</w:t>
            </w:r>
          </w:p>
        </w:tc>
        <w:tc>
          <w:tcPr>
            <w:tcW w:w="82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230"/>
              <w:rPr>
                <w:rFonts w:ascii="Arial"/>
                <w:sz w:val="16"/>
              </w:rPr>
            </w:pPr>
            <w:r>
              <w:rPr>
                <w:rFonts w:ascii="Arial"/>
                <w:sz w:val="16"/>
              </w:rPr>
              <w:t>0.106</w:t>
            </w:r>
          </w:p>
        </w:tc>
      </w:tr>
      <w:tr>
        <w:trPr>
          <w:trHeight w:val="91" w:hRule="atLeast"/>
        </w:trPr>
        <w:tc>
          <w:tcPr>
            <w:tcW w:w="1858" w:type="dxa"/>
            <w:vMerge w:val="restart"/>
            <w:tcBorders>
              <w:top w:val="nil"/>
              <w:bottom w:val="nil"/>
            </w:tcBorders>
          </w:tcPr>
          <w:p>
            <w:pPr>
              <w:pStyle w:val="TableParagraph"/>
              <w:spacing w:line="168" w:lineRule="exact"/>
              <w:ind w:left="155"/>
              <w:rPr>
                <w:rFonts w:ascii="Trebuchet MS"/>
                <w:i/>
                <w:sz w:val="16"/>
              </w:rPr>
            </w:pPr>
            <w:r>
              <w:rPr>
                <w:rFonts w:ascii="Trebuchet MS"/>
                <w:i/>
                <w:w w:val="95"/>
                <w:sz w:val="16"/>
              </w:rPr>
              <w:t>which</w:t>
            </w:r>
            <w:r>
              <w:rPr>
                <w:rFonts w:ascii="Trebuchet MS"/>
                <w:i/>
                <w:spacing w:val="-28"/>
                <w:w w:val="95"/>
                <w:sz w:val="16"/>
              </w:rPr>
              <w:t> </w:t>
            </w:r>
            <w:r>
              <w:rPr>
                <w:rFonts w:ascii="Trebuchet MS"/>
                <w:i/>
                <w:w w:val="95"/>
                <w:sz w:val="16"/>
              </w:rPr>
              <w:t>will</w:t>
            </w:r>
            <w:r>
              <w:rPr>
                <w:rFonts w:ascii="Trebuchet MS"/>
                <w:i/>
                <w:spacing w:val="-27"/>
                <w:w w:val="95"/>
                <w:sz w:val="16"/>
              </w:rPr>
              <w:t> </w:t>
            </w:r>
            <w:r>
              <w:rPr>
                <w:rFonts w:ascii="Trebuchet MS"/>
                <w:i/>
                <w:w w:val="95"/>
                <w:sz w:val="16"/>
              </w:rPr>
              <w:t>be</w:t>
            </w:r>
            <w:r>
              <w:rPr>
                <w:rFonts w:ascii="Trebuchet MS"/>
                <w:i/>
                <w:spacing w:val="-27"/>
                <w:w w:val="95"/>
                <w:sz w:val="16"/>
              </w:rPr>
              <w:t> </w:t>
            </w:r>
            <w:r>
              <w:rPr>
                <w:rFonts w:ascii="Trebuchet MS"/>
                <w:i/>
                <w:w w:val="95"/>
                <w:sz w:val="16"/>
              </w:rPr>
              <w:t>influenced</w:t>
            </w:r>
          </w:p>
        </w:tc>
        <w:tc>
          <w:tcPr>
            <w:tcW w:w="1133" w:type="dxa"/>
            <w:vMerge w:val="restart"/>
            <w:tcBorders>
              <w:top w:val="nil"/>
              <w:bottom w:val="nil"/>
              <w:right w:val="single" w:sz="4" w:space="0" w:color="000000"/>
            </w:tcBorders>
          </w:tcPr>
          <w:p>
            <w:pPr>
              <w:pStyle w:val="TableParagraph"/>
              <w:spacing w:line="176" w:lineRule="exact"/>
              <w:ind w:left="47" w:right="36"/>
              <w:jc w:val="center"/>
              <w:rPr>
                <w:rFonts w:ascii="Arial"/>
                <w:sz w:val="18"/>
              </w:rPr>
            </w:pPr>
            <w:r>
              <w:rPr>
                <w:rFonts w:ascii="Arial"/>
                <w:w w:val="95"/>
                <w:sz w:val="18"/>
              </w:rPr>
              <w:t>P5</w:t>
            </w: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21" w:type="dxa"/>
            <w:vMerge/>
            <w:tcBorders>
              <w:top w:val="nil"/>
              <w:left w:val="single" w:sz="4" w:space="0" w:color="000000"/>
              <w:bottom w:val="single" w:sz="4" w:space="0" w:color="000000"/>
              <w:right w:val="single" w:sz="4" w:space="0" w:color="000000"/>
            </w:tcBorders>
          </w:tcPr>
          <w:p>
            <w:pPr>
              <w:rPr>
                <w:sz w:val="2"/>
                <w:szCs w:val="2"/>
              </w:rPr>
            </w:pPr>
          </w:p>
        </w:tc>
      </w:tr>
      <w:tr>
        <w:trPr>
          <w:trHeight w:val="95" w:hRule="atLeast"/>
        </w:trPr>
        <w:tc>
          <w:tcPr>
            <w:tcW w:w="1858" w:type="dxa"/>
            <w:vMerge/>
            <w:tcBorders>
              <w:top w:val="nil"/>
              <w:bottom w:val="nil"/>
            </w:tcBorders>
          </w:tcPr>
          <w:p>
            <w:pPr>
              <w:rPr>
                <w:sz w:val="2"/>
                <w:szCs w:val="2"/>
              </w:rPr>
            </w:pPr>
          </w:p>
        </w:tc>
        <w:tc>
          <w:tcPr>
            <w:tcW w:w="1133" w:type="dxa"/>
            <w:vMerge/>
            <w:tcBorders>
              <w:top w:val="nil"/>
              <w:bottom w:val="nil"/>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164"/>
              <w:rPr>
                <w:rFonts w:ascii="Arial"/>
                <w:sz w:val="16"/>
              </w:rPr>
            </w:pPr>
            <w:r>
              <w:rPr>
                <w:rFonts w:ascii="Arial"/>
                <w:sz w:val="16"/>
              </w:rPr>
              <w:t>2020-21</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6"/>
              <w:rPr>
                <w:rFonts w:ascii="Arial"/>
                <w:sz w:val="16"/>
              </w:rPr>
            </w:pPr>
            <w:r>
              <w:rPr>
                <w:rFonts w:ascii="Arial"/>
                <w:sz w:val="16"/>
              </w:rPr>
              <w:t>0.248</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8"/>
              <w:rPr>
                <w:rFonts w:ascii="Arial"/>
                <w:sz w:val="16"/>
              </w:rPr>
            </w:pPr>
            <w:r>
              <w:rPr>
                <w:rFonts w:ascii="Arial"/>
                <w:sz w:val="16"/>
              </w:rPr>
              <w:t>0.140</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6"/>
              <w:rPr>
                <w:rFonts w:ascii="Arial"/>
                <w:sz w:val="16"/>
              </w:rPr>
            </w:pPr>
            <w:r>
              <w:rPr>
                <w:rFonts w:ascii="Arial"/>
                <w:sz w:val="16"/>
              </w:rPr>
              <w:t>0.213</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6"/>
              <w:rPr>
                <w:rFonts w:ascii="Arial"/>
                <w:sz w:val="16"/>
              </w:rPr>
            </w:pPr>
            <w:r>
              <w:rPr>
                <w:rFonts w:ascii="Arial"/>
                <w:sz w:val="16"/>
              </w:rPr>
              <w:t>0.127</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6"/>
              <w:rPr>
                <w:rFonts w:ascii="Arial"/>
                <w:sz w:val="16"/>
              </w:rPr>
            </w:pPr>
            <w:r>
              <w:rPr>
                <w:rFonts w:ascii="Arial"/>
                <w:sz w:val="16"/>
              </w:rPr>
              <w:t>0.186</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5"/>
              <w:rPr>
                <w:rFonts w:ascii="Arial"/>
                <w:sz w:val="16"/>
              </w:rPr>
            </w:pPr>
            <w:r>
              <w:rPr>
                <w:rFonts w:ascii="Arial"/>
                <w:sz w:val="16"/>
              </w:rPr>
              <w:t>0.117</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7"/>
              <w:rPr>
                <w:rFonts w:ascii="Arial"/>
                <w:sz w:val="16"/>
              </w:rPr>
            </w:pPr>
            <w:r>
              <w:rPr>
                <w:rFonts w:ascii="Arial"/>
                <w:sz w:val="16"/>
              </w:rPr>
              <w:t>0.165</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7"/>
              <w:rPr>
                <w:rFonts w:ascii="Arial"/>
                <w:sz w:val="16"/>
              </w:rPr>
            </w:pPr>
            <w:r>
              <w:rPr>
                <w:rFonts w:ascii="Arial"/>
                <w:sz w:val="16"/>
              </w:rPr>
              <w:t>0.100</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5"/>
              <w:rPr>
                <w:rFonts w:ascii="Arial"/>
                <w:sz w:val="16"/>
              </w:rPr>
            </w:pPr>
            <w:r>
              <w:rPr>
                <w:rFonts w:ascii="Arial"/>
                <w:sz w:val="16"/>
              </w:rPr>
              <w:t>0.149</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7"/>
              <w:rPr>
                <w:rFonts w:ascii="Arial"/>
                <w:sz w:val="16"/>
              </w:rPr>
            </w:pPr>
            <w:r>
              <w:rPr>
                <w:rFonts w:ascii="Arial"/>
                <w:sz w:val="16"/>
              </w:rPr>
              <w:t>0.093</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44"/>
              <w:rPr>
                <w:rFonts w:ascii="Arial"/>
                <w:sz w:val="16"/>
              </w:rPr>
            </w:pPr>
            <w:r>
              <w:rPr>
                <w:rFonts w:ascii="Arial"/>
                <w:sz w:val="16"/>
              </w:rPr>
              <w:t>0.149</w:t>
            </w:r>
          </w:p>
        </w:tc>
        <w:tc>
          <w:tcPr>
            <w:tcW w:w="82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1"/>
              <w:ind w:left="230"/>
              <w:rPr>
                <w:rFonts w:ascii="Arial"/>
                <w:sz w:val="16"/>
              </w:rPr>
            </w:pPr>
            <w:r>
              <w:rPr>
                <w:rFonts w:ascii="Arial"/>
                <w:sz w:val="16"/>
              </w:rPr>
              <w:t>0.093</w:t>
            </w:r>
          </w:p>
        </w:tc>
      </w:tr>
      <w:tr>
        <w:trPr>
          <w:trHeight w:val="83" w:hRule="atLeast"/>
        </w:trPr>
        <w:tc>
          <w:tcPr>
            <w:tcW w:w="1858" w:type="dxa"/>
            <w:vMerge w:val="restart"/>
            <w:tcBorders>
              <w:top w:val="nil"/>
              <w:bottom w:val="nil"/>
            </w:tcBorders>
          </w:tcPr>
          <w:p>
            <w:pPr>
              <w:pStyle w:val="TableParagraph"/>
              <w:spacing w:line="158" w:lineRule="exact"/>
              <w:ind w:left="112"/>
              <w:rPr>
                <w:rFonts w:ascii="Trebuchet MS"/>
                <w:i/>
                <w:sz w:val="16"/>
              </w:rPr>
            </w:pPr>
            <w:r>
              <w:rPr>
                <w:rFonts w:ascii="Trebuchet MS"/>
                <w:i/>
                <w:w w:val="90"/>
                <w:sz w:val="16"/>
              </w:rPr>
              <w:t>by</w:t>
            </w:r>
            <w:r>
              <w:rPr>
                <w:rFonts w:ascii="Trebuchet MS"/>
                <w:i/>
                <w:spacing w:val="-32"/>
                <w:w w:val="90"/>
                <w:sz w:val="16"/>
              </w:rPr>
              <w:t> </w:t>
            </w:r>
            <w:r>
              <w:rPr>
                <w:rFonts w:ascii="Trebuchet MS"/>
                <w:i/>
                <w:w w:val="90"/>
                <w:sz w:val="16"/>
              </w:rPr>
              <w:t>the</w:t>
            </w:r>
            <w:r>
              <w:rPr>
                <w:rFonts w:ascii="Trebuchet MS"/>
                <w:i/>
                <w:spacing w:val="-31"/>
                <w:w w:val="90"/>
                <w:sz w:val="16"/>
              </w:rPr>
              <w:t> </w:t>
            </w:r>
            <w:r>
              <w:rPr>
                <w:rFonts w:ascii="Trebuchet MS"/>
                <w:i/>
                <w:w w:val="90"/>
                <w:sz w:val="16"/>
              </w:rPr>
              <w:t>surface</w:t>
            </w:r>
            <w:r>
              <w:rPr>
                <w:rFonts w:ascii="Trebuchet MS"/>
                <w:i/>
                <w:spacing w:val="-31"/>
                <w:w w:val="90"/>
                <w:sz w:val="16"/>
              </w:rPr>
              <w:t> </w:t>
            </w:r>
            <w:r>
              <w:rPr>
                <w:rFonts w:ascii="Trebuchet MS"/>
                <w:i/>
                <w:w w:val="90"/>
                <w:sz w:val="16"/>
              </w:rPr>
              <w:t>reflectivity</w:t>
            </w:r>
          </w:p>
          <w:p>
            <w:pPr>
              <w:pStyle w:val="TableParagraph"/>
              <w:spacing w:line="182" w:lineRule="exact" w:before="8"/>
              <w:ind w:left="133"/>
              <w:rPr>
                <w:rFonts w:ascii="Trebuchet MS"/>
                <w:i/>
                <w:sz w:val="16"/>
              </w:rPr>
            </w:pPr>
            <w:r>
              <w:rPr>
                <w:rFonts w:ascii="Trebuchet MS"/>
                <w:i/>
                <w:w w:val="95"/>
                <w:sz w:val="16"/>
              </w:rPr>
              <w:t>of</w:t>
            </w:r>
            <w:r>
              <w:rPr>
                <w:rFonts w:ascii="Trebuchet MS"/>
                <w:i/>
                <w:spacing w:val="-31"/>
                <w:w w:val="95"/>
                <w:sz w:val="16"/>
              </w:rPr>
              <w:t> </w:t>
            </w:r>
            <w:r>
              <w:rPr>
                <w:rFonts w:ascii="Trebuchet MS"/>
                <w:i/>
                <w:w w:val="95"/>
                <w:sz w:val="16"/>
              </w:rPr>
              <w:t>the</w:t>
            </w:r>
            <w:r>
              <w:rPr>
                <w:rFonts w:ascii="Trebuchet MS"/>
                <w:i/>
                <w:spacing w:val="-30"/>
                <w:w w:val="95"/>
                <w:sz w:val="16"/>
              </w:rPr>
              <w:t> </w:t>
            </w:r>
            <w:r>
              <w:rPr>
                <w:rFonts w:ascii="Trebuchet MS"/>
                <w:i/>
                <w:w w:val="95"/>
                <w:sz w:val="16"/>
              </w:rPr>
              <w:t>road</w:t>
            </w:r>
            <w:r>
              <w:rPr>
                <w:rFonts w:ascii="Trebuchet MS"/>
                <w:i/>
                <w:spacing w:val="-31"/>
                <w:w w:val="95"/>
                <w:sz w:val="16"/>
              </w:rPr>
              <w:t> </w:t>
            </w:r>
            <w:r>
              <w:rPr>
                <w:rFonts w:ascii="Trebuchet MS"/>
                <w:i/>
                <w:w w:val="95"/>
                <w:sz w:val="16"/>
              </w:rPr>
              <w:t>(luminance</w:t>
            </w:r>
            <w:r>
              <w:rPr>
                <w:rFonts w:ascii="Trebuchet MS"/>
                <w:i/>
                <w:spacing w:val="-30"/>
                <w:w w:val="95"/>
                <w:sz w:val="16"/>
              </w:rPr>
              <w:t> </w:t>
            </w:r>
            <w:r>
              <w:rPr>
                <w:rFonts w:ascii="Trebuchet MS"/>
                <w:i/>
                <w:w w:val="95"/>
                <w:sz w:val="16"/>
              </w:rPr>
              <w:t>=</w:t>
            </w:r>
          </w:p>
        </w:tc>
        <w:tc>
          <w:tcPr>
            <w:tcW w:w="1133" w:type="dxa"/>
            <w:vMerge w:val="restart"/>
            <w:tcBorders>
              <w:top w:val="nil"/>
              <w:right w:val="single" w:sz="4" w:space="0" w:color="000000"/>
            </w:tcBorders>
          </w:tcPr>
          <w:p>
            <w:pPr>
              <w:pStyle w:val="TableParagraph"/>
              <w:spacing w:line="199" w:lineRule="exact"/>
              <w:ind w:left="167"/>
              <w:rPr>
                <w:rFonts w:ascii="Arial"/>
                <w:sz w:val="18"/>
              </w:rPr>
            </w:pPr>
            <w:r>
              <w:rPr>
                <w:rFonts w:ascii="Arial"/>
                <w:sz w:val="18"/>
              </w:rPr>
              <w:t>(avg. 3 lux)</w:t>
            </w: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21" w:type="dxa"/>
            <w:vMerge/>
            <w:tcBorders>
              <w:top w:val="nil"/>
              <w:left w:val="single" w:sz="4" w:space="0" w:color="000000"/>
              <w:bottom w:val="single" w:sz="4" w:space="0" w:color="000000"/>
              <w:right w:val="single" w:sz="4" w:space="0" w:color="000000"/>
            </w:tcBorders>
          </w:tcPr>
          <w:p>
            <w:pPr>
              <w:rPr>
                <w:sz w:val="2"/>
                <w:szCs w:val="2"/>
              </w:rPr>
            </w:pPr>
          </w:p>
        </w:tc>
      </w:tr>
      <w:tr>
        <w:trPr>
          <w:trHeight w:val="191" w:hRule="atLeast"/>
        </w:trPr>
        <w:tc>
          <w:tcPr>
            <w:tcW w:w="1858" w:type="dxa"/>
            <w:vMerge/>
            <w:tcBorders>
              <w:top w:val="nil"/>
              <w:bottom w:val="nil"/>
            </w:tcBorders>
          </w:tcPr>
          <w:p>
            <w:pPr>
              <w:rPr>
                <w:sz w:val="2"/>
                <w:szCs w:val="2"/>
              </w:rPr>
            </w:pPr>
          </w:p>
        </w:tc>
        <w:tc>
          <w:tcPr>
            <w:tcW w:w="1133" w:type="dxa"/>
            <w:vMerge/>
            <w:tcBorders>
              <w:top w:val="nil"/>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9" w:right="94"/>
              <w:jc w:val="center"/>
              <w:rPr>
                <w:rFonts w:ascii="Arial"/>
                <w:sz w:val="16"/>
              </w:rPr>
            </w:pPr>
            <w:r>
              <w:rPr>
                <w:rFonts w:ascii="Arial"/>
                <w:sz w:val="16"/>
              </w:rPr>
              <w:t>2022-23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7" w:right="187"/>
              <w:jc w:val="center"/>
              <w:rPr>
                <w:rFonts w:ascii="Arial"/>
                <w:sz w:val="16"/>
              </w:rPr>
            </w:pPr>
            <w:r>
              <w:rPr>
                <w:rFonts w:ascii="Arial"/>
                <w:sz w:val="16"/>
              </w:rPr>
              <w:t>0.221</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6" w:right="94"/>
              <w:jc w:val="center"/>
              <w:rPr>
                <w:rFonts w:ascii="Arial"/>
                <w:sz w:val="16"/>
              </w:rPr>
            </w:pPr>
            <w:r>
              <w:rPr>
                <w:rFonts w:ascii="Arial"/>
                <w:sz w:val="16"/>
              </w:rPr>
              <w:t>0.125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7" w:right="187"/>
              <w:jc w:val="center"/>
              <w:rPr>
                <w:rFonts w:ascii="Arial"/>
                <w:sz w:val="16"/>
              </w:rPr>
            </w:pPr>
            <w:r>
              <w:rPr>
                <w:rFonts w:ascii="Arial"/>
                <w:sz w:val="16"/>
              </w:rPr>
              <w:t>0.189</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1" w:right="94"/>
              <w:jc w:val="center"/>
              <w:rPr>
                <w:rFonts w:ascii="Arial"/>
                <w:sz w:val="16"/>
              </w:rPr>
            </w:pPr>
            <w:r>
              <w:rPr>
                <w:rFonts w:ascii="Arial"/>
                <w:sz w:val="16"/>
              </w:rPr>
              <w:t>0.114</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7" w:right="188"/>
              <w:jc w:val="center"/>
              <w:rPr>
                <w:rFonts w:ascii="Arial"/>
                <w:sz w:val="16"/>
              </w:rPr>
            </w:pPr>
            <w:r>
              <w:rPr>
                <w:rFonts w:ascii="Arial"/>
                <w:sz w:val="16"/>
              </w:rPr>
              <w:t>0.165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6" w:right="188"/>
              <w:jc w:val="center"/>
              <w:rPr>
                <w:rFonts w:ascii="Arial"/>
                <w:sz w:val="16"/>
              </w:rPr>
            </w:pPr>
            <w:r>
              <w:rPr>
                <w:rFonts w:ascii="Arial"/>
                <w:sz w:val="16"/>
              </w:rPr>
              <w:t>0.104</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7" w:right="184"/>
              <w:jc w:val="center"/>
              <w:rPr>
                <w:rFonts w:ascii="Arial"/>
                <w:sz w:val="16"/>
              </w:rPr>
            </w:pPr>
            <w:r>
              <w:rPr>
                <w:rFonts w:ascii="Arial"/>
                <w:sz w:val="16"/>
              </w:rPr>
              <w:t>0.147</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4" w:right="94"/>
              <w:jc w:val="center"/>
              <w:rPr>
                <w:rFonts w:ascii="Arial"/>
                <w:sz w:val="16"/>
              </w:rPr>
            </w:pPr>
            <w:r>
              <w:rPr>
                <w:rFonts w:ascii="Arial"/>
                <w:sz w:val="16"/>
              </w:rPr>
              <w:t>0.089</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5" w:right="188"/>
              <w:jc w:val="center"/>
              <w:rPr>
                <w:rFonts w:ascii="Arial"/>
                <w:sz w:val="16"/>
              </w:rPr>
            </w:pPr>
            <w:r>
              <w:rPr>
                <w:rFonts w:ascii="Arial"/>
                <w:sz w:val="16"/>
              </w:rPr>
              <w:t>0.132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3" w:right="94"/>
              <w:jc w:val="center"/>
              <w:rPr>
                <w:rFonts w:ascii="Arial"/>
                <w:sz w:val="16"/>
              </w:rPr>
            </w:pPr>
            <w:r>
              <w:rPr>
                <w:rFonts w:ascii="Arial"/>
                <w:sz w:val="16"/>
              </w:rPr>
              <w:t>0.083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5" w:right="188"/>
              <w:jc w:val="center"/>
              <w:rPr>
                <w:rFonts w:ascii="Arial"/>
                <w:sz w:val="16"/>
              </w:rPr>
            </w:pPr>
            <w:r>
              <w:rPr>
                <w:rFonts w:ascii="Arial"/>
                <w:sz w:val="16"/>
              </w:rPr>
              <w:t>0.132</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93" w:right="177"/>
              <w:jc w:val="center"/>
              <w:rPr>
                <w:rFonts w:ascii="Arial"/>
                <w:sz w:val="16"/>
              </w:rPr>
            </w:pPr>
            <w:r>
              <w:rPr>
                <w:rFonts w:ascii="Arial"/>
                <w:sz w:val="16"/>
              </w:rPr>
              <w:t>0.083</w:t>
            </w:r>
          </w:p>
        </w:tc>
      </w:tr>
      <w:tr>
        <w:trPr>
          <w:trHeight w:val="54" w:hRule="atLeast"/>
        </w:trPr>
        <w:tc>
          <w:tcPr>
            <w:tcW w:w="1858" w:type="dxa"/>
            <w:vMerge/>
            <w:tcBorders>
              <w:top w:val="nil"/>
              <w:bottom w:val="nil"/>
            </w:tcBorders>
          </w:tcPr>
          <w:p>
            <w:pPr>
              <w:rPr>
                <w:sz w:val="2"/>
                <w:szCs w:val="2"/>
              </w:rPr>
            </w:pPr>
          </w:p>
        </w:tc>
        <w:tc>
          <w:tcPr>
            <w:tcW w:w="1133" w:type="dxa"/>
            <w:tcBorders>
              <w:bottom w:val="nil"/>
              <w:right w:val="single" w:sz="4" w:space="0" w:color="000000"/>
            </w:tcBorders>
          </w:tcPr>
          <w:p>
            <w:pPr>
              <w:pStyle w:val="TableParagraph"/>
              <w:ind w:left="0"/>
              <w:rPr>
                <w:sz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164"/>
              <w:rPr>
                <w:rFonts w:ascii="Arial"/>
                <w:sz w:val="16"/>
              </w:rPr>
            </w:pPr>
            <w:r>
              <w:rPr>
                <w:rFonts w:ascii="Arial"/>
                <w:sz w:val="16"/>
              </w:rPr>
              <w:t>2018-19</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46"/>
              <w:rPr>
                <w:rFonts w:ascii="Arial"/>
                <w:sz w:val="16"/>
              </w:rPr>
            </w:pPr>
            <w:r>
              <w:rPr>
                <w:rFonts w:ascii="Arial"/>
                <w:sz w:val="16"/>
              </w:rPr>
              <w:t>0.187</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48"/>
              <w:rPr>
                <w:rFonts w:ascii="Arial"/>
                <w:sz w:val="16"/>
              </w:rPr>
            </w:pPr>
            <w:r>
              <w:rPr>
                <w:rFonts w:ascii="Arial"/>
                <w:sz w:val="16"/>
              </w:rPr>
              <w:t>0.106</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46"/>
              <w:rPr>
                <w:rFonts w:ascii="Arial"/>
                <w:sz w:val="16"/>
              </w:rPr>
            </w:pPr>
            <w:r>
              <w:rPr>
                <w:rFonts w:ascii="Arial"/>
                <w:sz w:val="16"/>
              </w:rPr>
              <w:t>0.161</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46"/>
              <w:rPr>
                <w:rFonts w:ascii="Arial"/>
                <w:sz w:val="16"/>
              </w:rPr>
            </w:pPr>
            <w:r>
              <w:rPr>
                <w:rFonts w:ascii="Arial"/>
                <w:sz w:val="16"/>
              </w:rPr>
              <w:t>0.096</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46"/>
              <w:rPr>
                <w:rFonts w:ascii="Arial"/>
                <w:sz w:val="16"/>
              </w:rPr>
            </w:pPr>
            <w:r>
              <w:rPr>
                <w:rFonts w:ascii="Arial"/>
                <w:sz w:val="16"/>
              </w:rPr>
              <w:t>0.141</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45"/>
              <w:rPr>
                <w:rFonts w:ascii="Arial"/>
                <w:sz w:val="16"/>
              </w:rPr>
            </w:pPr>
            <w:r>
              <w:rPr>
                <w:rFonts w:ascii="Arial"/>
                <w:sz w:val="16"/>
              </w:rPr>
              <w:t>0.088</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47"/>
              <w:rPr>
                <w:rFonts w:ascii="Arial"/>
                <w:sz w:val="16"/>
              </w:rPr>
            </w:pPr>
            <w:r>
              <w:rPr>
                <w:rFonts w:ascii="Arial"/>
                <w:sz w:val="16"/>
              </w:rPr>
              <w:t>0.125</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47"/>
              <w:rPr>
                <w:rFonts w:ascii="Arial"/>
                <w:sz w:val="16"/>
              </w:rPr>
            </w:pPr>
            <w:r>
              <w:rPr>
                <w:rFonts w:ascii="Arial"/>
                <w:sz w:val="16"/>
              </w:rPr>
              <w:t>0.076</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45"/>
              <w:rPr>
                <w:rFonts w:ascii="Arial"/>
                <w:sz w:val="16"/>
              </w:rPr>
            </w:pPr>
            <w:r>
              <w:rPr>
                <w:rFonts w:ascii="Arial"/>
                <w:sz w:val="16"/>
              </w:rPr>
              <w:t>0.112</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47"/>
              <w:rPr>
                <w:rFonts w:ascii="Arial"/>
                <w:sz w:val="16"/>
              </w:rPr>
            </w:pPr>
            <w:r>
              <w:rPr>
                <w:rFonts w:ascii="Arial"/>
                <w:sz w:val="16"/>
              </w:rPr>
              <w:t>0.070</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44"/>
              <w:rPr>
                <w:rFonts w:ascii="Arial"/>
                <w:sz w:val="16"/>
              </w:rPr>
            </w:pPr>
            <w:r>
              <w:rPr>
                <w:rFonts w:ascii="Arial"/>
                <w:sz w:val="16"/>
              </w:rPr>
              <w:t>0.112</w:t>
            </w:r>
          </w:p>
        </w:tc>
        <w:tc>
          <w:tcPr>
            <w:tcW w:w="82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ind w:left="230"/>
              <w:rPr>
                <w:rFonts w:ascii="Arial"/>
                <w:sz w:val="16"/>
              </w:rPr>
            </w:pPr>
            <w:r>
              <w:rPr>
                <w:rFonts w:ascii="Arial"/>
                <w:sz w:val="16"/>
              </w:rPr>
              <w:t>0.070</w:t>
            </w:r>
          </w:p>
        </w:tc>
      </w:tr>
      <w:tr>
        <w:trPr>
          <w:trHeight w:val="124" w:hRule="atLeast"/>
        </w:trPr>
        <w:tc>
          <w:tcPr>
            <w:tcW w:w="1858" w:type="dxa"/>
            <w:vMerge w:val="restart"/>
            <w:tcBorders>
              <w:top w:val="nil"/>
            </w:tcBorders>
          </w:tcPr>
          <w:p>
            <w:pPr>
              <w:pStyle w:val="TableParagraph"/>
              <w:spacing w:line="168" w:lineRule="exact"/>
              <w:ind w:left="503"/>
              <w:rPr>
                <w:rFonts w:ascii="Trebuchet MS"/>
                <w:i/>
                <w:sz w:val="16"/>
              </w:rPr>
            </w:pPr>
            <w:r>
              <w:rPr>
                <w:rFonts w:ascii="Trebuchet MS"/>
                <w:i/>
                <w:w w:val="85"/>
                <w:sz w:val="16"/>
              </w:rPr>
              <w:t>illuminance</w:t>
            </w:r>
            <w:r>
              <w:rPr>
                <w:rFonts w:ascii="Trebuchet MS"/>
                <w:i/>
                <w:spacing w:val="16"/>
                <w:w w:val="85"/>
                <w:sz w:val="16"/>
              </w:rPr>
              <w:t> </w:t>
            </w:r>
            <w:r>
              <w:rPr>
                <w:rFonts w:ascii="Trebuchet MS"/>
                <w:i/>
                <w:w w:val="85"/>
                <w:sz w:val="16"/>
              </w:rPr>
              <w:t>x</w:t>
            </w:r>
          </w:p>
          <w:p>
            <w:pPr>
              <w:pStyle w:val="TableParagraph"/>
              <w:spacing w:before="11"/>
              <w:ind w:left="541"/>
              <w:rPr>
                <w:rFonts w:ascii="Trebuchet MS"/>
                <w:i/>
                <w:sz w:val="16"/>
              </w:rPr>
            </w:pPr>
            <w:r>
              <w:rPr>
                <w:rFonts w:ascii="Trebuchet MS"/>
                <w:i/>
                <w:w w:val="95"/>
                <w:sz w:val="16"/>
              </w:rPr>
              <w:t>reflectivity).</w:t>
            </w:r>
          </w:p>
        </w:tc>
        <w:tc>
          <w:tcPr>
            <w:tcW w:w="1133" w:type="dxa"/>
            <w:vMerge w:val="restart"/>
            <w:tcBorders>
              <w:top w:val="nil"/>
              <w:right w:val="single" w:sz="4" w:space="0" w:color="000000"/>
            </w:tcBorders>
          </w:tcPr>
          <w:p>
            <w:pPr>
              <w:pStyle w:val="TableParagraph"/>
              <w:spacing w:before="21"/>
              <w:ind w:left="47" w:right="36"/>
              <w:jc w:val="center"/>
              <w:rPr>
                <w:rFonts w:ascii="Arial"/>
                <w:sz w:val="18"/>
              </w:rPr>
            </w:pPr>
            <w:r>
              <w:rPr>
                <w:rFonts w:ascii="Arial"/>
                <w:w w:val="95"/>
                <w:sz w:val="18"/>
              </w:rPr>
              <w:t>P6</w:t>
            </w:r>
          </w:p>
          <w:p>
            <w:pPr>
              <w:pStyle w:val="TableParagraph"/>
              <w:spacing w:before="11"/>
              <w:ind w:left="47" w:right="40"/>
              <w:jc w:val="center"/>
              <w:rPr>
                <w:rFonts w:ascii="Arial"/>
                <w:sz w:val="18"/>
              </w:rPr>
            </w:pPr>
            <w:r>
              <w:rPr>
                <w:rFonts w:ascii="Arial"/>
                <w:sz w:val="18"/>
              </w:rPr>
              <w:t>(avg. 2 lux)</w:t>
            </w: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821" w:type="dxa"/>
            <w:vMerge/>
            <w:tcBorders>
              <w:top w:val="nil"/>
              <w:left w:val="single" w:sz="4" w:space="0" w:color="000000"/>
              <w:bottom w:val="single" w:sz="4" w:space="0" w:color="000000"/>
              <w:right w:val="single" w:sz="4" w:space="0" w:color="000000"/>
            </w:tcBorders>
          </w:tcPr>
          <w:p>
            <w:pPr>
              <w:rPr>
                <w:sz w:val="2"/>
                <w:szCs w:val="2"/>
              </w:rPr>
            </w:pPr>
          </w:p>
        </w:tc>
      </w:tr>
      <w:tr>
        <w:trPr>
          <w:trHeight w:val="186" w:hRule="atLeast"/>
        </w:trPr>
        <w:tc>
          <w:tcPr>
            <w:tcW w:w="1858" w:type="dxa"/>
            <w:vMerge/>
            <w:tcBorders>
              <w:top w:val="nil"/>
            </w:tcBorders>
          </w:tcPr>
          <w:p>
            <w:pPr>
              <w:rPr>
                <w:sz w:val="2"/>
                <w:szCs w:val="2"/>
              </w:rPr>
            </w:pPr>
          </w:p>
        </w:tc>
        <w:tc>
          <w:tcPr>
            <w:tcW w:w="1133" w:type="dxa"/>
            <w:vMerge/>
            <w:tcBorders>
              <w:top w:val="nil"/>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9" w:right="94"/>
              <w:jc w:val="center"/>
              <w:rPr>
                <w:rFonts w:ascii="Arial"/>
                <w:sz w:val="16"/>
              </w:rPr>
            </w:pPr>
            <w:r>
              <w:rPr>
                <w:rFonts w:ascii="Arial"/>
                <w:sz w:val="16"/>
              </w:rPr>
              <w:t>2020-21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7"/>
              <w:jc w:val="center"/>
              <w:rPr>
                <w:rFonts w:ascii="Arial"/>
                <w:sz w:val="16"/>
              </w:rPr>
            </w:pPr>
            <w:r>
              <w:rPr>
                <w:rFonts w:ascii="Arial"/>
                <w:sz w:val="16"/>
              </w:rPr>
              <w:t>0.165</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6" w:right="94"/>
              <w:jc w:val="center"/>
              <w:rPr>
                <w:rFonts w:ascii="Arial"/>
                <w:sz w:val="16"/>
              </w:rPr>
            </w:pPr>
            <w:r>
              <w:rPr>
                <w:rFonts w:ascii="Arial"/>
                <w:sz w:val="16"/>
              </w:rPr>
              <w:t>0.093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7"/>
              <w:jc w:val="center"/>
              <w:rPr>
                <w:rFonts w:ascii="Arial"/>
                <w:sz w:val="16"/>
              </w:rPr>
            </w:pPr>
            <w:r>
              <w:rPr>
                <w:rFonts w:ascii="Arial"/>
                <w:sz w:val="16"/>
              </w:rPr>
              <w:t>0.142</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1" w:right="94"/>
              <w:jc w:val="center"/>
              <w:rPr>
                <w:rFonts w:ascii="Arial"/>
                <w:sz w:val="16"/>
              </w:rPr>
            </w:pPr>
            <w:r>
              <w:rPr>
                <w:rFonts w:ascii="Arial"/>
                <w:sz w:val="16"/>
              </w:rPr>
              <w:t>0.085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8"/>
              <w:jc w:val="center"/>
              <w:rPr>
                <w:rFonts w:ascii="Arial"/>
                <w:sz w:val="16"/>
              </w:rPr>
            </w:pPr>
            <w:r>
              <w:rPr>
                <w:rFonts w:ascii="Arial"/>
                <w:sz w:val="16"/>
              </w:rPr>
              <w:t>0.124</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6" w:right="188"/>
              <w:jc w:val="center"/>
              <w:rPr>
                <w:rFonts w:ascii="Arial"/>
                <w:sz w:val="16"/>
              </w:rPr>
            </w:pPr>
            <w:r>
              <w:rPr>
                <w:rFonts w:ascii="Arial"/>
                <w:sz w:val="16"/>
              </w:rPr>
              <w:t>0.078</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7" w:right="184"/>
              <w:jc w:val="center"/>
              <w:rPr>
                <w:rFonts w:ascii="Arial"/>
                <w:sz w:val="16"/>
              </w:rPr>
            </w:pPr>
            <w:r>
              <w:rPr>
                <w:rFonts w:ascii="Arial"/>
                <w:sz w:val="16"/>
              </w:rPr>
              <w:t>0.110</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4" w:right="94"/>
              <w:jc w:val="center"/>
              <w:rPr>
                <w:rFonts w:ascii="Arial"/>
                <w:sz w:val="16"/>
              </w:rPr>
            </w:pPr>
            <w:r>
              <w:rPr>
                <w:rFonts w:ascii="Arial"/>
                <w:sz w:val="16"/>
              </w:rPr>
              <w:t>0.067</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5" w:right="188"/>
              <w:jc w:val="center"/>
              <w:rPr>
                <w:rFonts w:ascii="Arial"/>
                <w:sz w:val="16"/>
              </w:rPr>
            </w:pPr>
            <w:r>
              <w:rPr>
                <w:rFonts w:ascii="Arial"/>
                <w:sz w:val="16"/>
              </w:rPr>
              <w:t>0.099</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13" w:right="94"/>
              <w:jc w:val="center"/>
              <w:rPr>
                <w:rFonts w:ascii="Arial"/>
                <w:sz w:val="16"/>
              </w:rPr>
            </w:pPr>
            <w:r>
              <w:rPr>
                <w:rFonts w:ascii="Arial"/>
                <w:sz w:val="16"/>
              </w:rPr>
              <w:t>0.062</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205" w:right="188"/>
              <w:jc w:val="center"/>
              <w:rPr>
                <w:rFonts w:ascii="Arial"/>
                <w:sz w:val="16"/>
              </w:rPr>
            </w:pPr>
            <w:r>
              <w:rPr>
                <w:rFonts w:ascii="Arial"/>
                <w:sz w:val="16"/>
              </w:rPr>
              <w:t>0.099</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ind w:left="193" w:right="177"/>
              <w:jc w:val="center"/>
              <w:rPr>
                <w:rFonts w:ascii="Arial"/>
                <w:sz w:val="16"/>
              </w:rPr>
            </w:pPr>
            <w:r>
              <w:rPr>
                <w:rFonts w:ascii="Arial"/>
                <w:sz w:val="16"/>
              </w:rPr>
              <w:t>0.062</w:t>
            </w:r>
          </w:p>
        </w:tc>
      </w:tr>
      <w:tr>
        <w:trPr>
          <w:trHeight w:val="191" w:hRule="atLeast"/>
        </w:trPr>
        <w:tc>
          <w:tcPr>
            <w:tcW w:w="1858" w:type="dxa"/>
            <w:vMerge/>
            <w:tcBorders>
              <w:top w:val="nil"/>
            </w:tcBorders>
          </w:tcPr>
          <w:p>
            <w:pPr>
              <w:rPr>
                <w:sz w:val="2"/>
                <w:szCs w:val="2"/>
              </w:rPr>
            </w:pPr>
          </w:p>
        </w:tc>
        <w:tc>
          <w:tcPr>
            <w:tcW w:w="1133" w:type="dxa"/>
            <w:vMerge/>
            <w:tcBorders>
              <w:top w:val="nil"/>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9" w:right="94"/>
              <w:jc w:val="center"/>
              <w:rPr>
                <w:rFonts w:ascii="Arial"/>
                <w:sz w:val="16"/>
              </w:rPr>
            </w:pPr>
            <w:r>
              <w:rPr>
                <w:rFonts w:ascii="Arial"/>
                <w:sz w:val="16"/>
              </w:rPr>
              <w:t>2022-23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7" w:right="187"/>
              <w:jc w:val="center"/>
              <w:rPr>
                <w:rFonts w:ascii="Arial"/>
                <w:sz w:val="16"/>
              </w:rPr>
            </w:pPr>
            <w:r>
              <w:rPr>
                <w:rFonts w:ascii="Arial"/>
                <w:sz w:val="16"/>
              </w:rPr>
              <w:t>0.147</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6" w:right="94"/>
              <w:jc w:val="center"/>
              <w:rPr>
                <w:rFonts w:ascii="Arial"/>
                <w:sz w:val="16"/>
              </w:rPr>
            </w:pPr>
            <w:r>
              <w:rPr>
                <w:rFonts w:ascii="Arial"/>
                <w:sz w:val="16"/>
              </w:rPr>
              <w:t>0.083</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7" w:right="187"/>
              <w:jc w:val="center"/>
              <w:rPr>
                <w:rFonts w:ascii="Arial"/>
                <w:sz w:val="16"/>
              </w:rPr>
            </w:pPr>
            <w:r>
              <w:rPr>
                <w:rFonts w:ascii="Arial"/>
                <w:sz w:val="16"/>
              </w:rPr>
              <w:t>0.126</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1" w:right="94"/>
              <w:jc w:val="center"/>
              <w:rPr>
                <w:rFonts w:ascii="Arial"/>
                <w:sz w:val="16"/>
              </w:rPr>
            </w:pPr>
            <w:r>
              <w:rPr>
                <w:rFonts w:ascii="Arial"/>
                <w:sz w:val="16"/>
              </w:rPr>
              <w:t>0.076</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7" w:right="188"/>
              <w:jc w:val="center"/>
              <w:rPr>
                <w:rFonts w:ascii="Arial"/>
                <w:sz w:val="16"/>
              </w:rPr>
            </w:pPr>
            <w:r>
              <w:rPr>
                <w:rFonts w:ascii="Arial"/>
                <w:sz w:val="16"/>
              </w:rPr>
              <w:t>0.110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6" w:right="188"/>
              <w:jc w:val="center"/>
              <w:rPr>
                <w:rFonts w:ascii="Arial"/>
                <w:sz w:val="16"/>
              </w:rPr>
            </w:pPr>
            <w:r>
              <w:rPr>
                <w:rFonts w:ascii="Arial"/>
                <w:sz w:val="16"/>
              </w:rPr>
              <w:t>0.069</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7" w:right="184"/>
              <w:jc w:val="center"/>
              <w:rPr>
                <w:rFonts w:ascii="Arial"/>
                <w:sz w:val="16"/>
              </w:rPr>
            </w:pPr>
            <w:r>
              <w:rPr>
                <w:rFonts w:ascii="Arial"/>
                <w:sz w:val="16"/>
              </w:rPr>
              <w:t>0.098</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4" w:right="94"/>
              <w:jc w:val="center"/>
              <w:rPr>
                <w:rFonts w:ascii="Arial"/>
                <w:sz w:val="16"/>
              </w:rPr>
            </w:pPr>
            <w:r>
              <w:rPr>
                <w:rFonts w:ascii="Arial"/>
                <w:sz w:val="16"/>
              </w:rPr>
              <w:t>0.059</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5" w:right="188"/>
              <w:jc w:val="center"/>
              <w:rPr>
                <w:rFonts w:ascii="Arial"/>
                <w:sz w:val="16"/>
              </w:rPr>
            </w:pPr>
            <w:r>
              <w:rPr>
                <w:rFonts w:ascii="Arial"/>
                <w:sz w:val="16"/>
              </w:rPr>
              <w:t>0.088</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13" w:right="94"/>
              <w:jc w:val="center"/>
              <w:rPr>
                <w:rFonts w:ascii="Arial"/>
                <w:sz w:val="16"/>
              </w:rPr>
            </w:pPr>
            <w:r>
              <w:rPr>
                <w:rFonts w:ascii="Arial"/>
                <w:sz w:val="16"/>
              </w:rPr>
              <w:t>0.056</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205" w:right="188"/>
              <w:jc w:val="center"/>
              <w:rPr>
                <w:rFonts w:ascii="Arial"/>
                <w:sz w:val="16"/>
              </w:rPr>
            </w:pPr>
            <w:r>
              <w:rPr>
                <w:rFonts w:ascii="Arial"/>
                <w:sz w:val="16"/>
              </w:rPr>
              <w:t>0.088</w:t>
            </w:r>
          </w:p>
        </w:tc>
        <w:tc>
          <w:tcPr>
            <w:tcW w:w="821"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ind w:left="193" w:right="177"/>
              <w:jc w:val="center"/>
              <w:rPr>
                <w:rFonts w:ascii="Arial"/>
                <w:sz w:val="16"/>
              </w:rPr>
            </w:pPr>
            <w:r>
              <w:rPr>
                <w:rFonts w:ascii="Arial"/>
                <w:sz w:val="16"/>
              </w:rPr>
              <w:t>0.056</w:t>
            </w:r>
          </w:p>
        </w:tc>
      </w:tr>
    </w:tbl>
    <w:p>
      <w:pPr>
        <w:spacing w:after="0" w:line="171" w:lineRule="exact"/>
        <w:jc w:val="center"/>
        <w:rPr>
          <w:rFonts w:ascii="Arial"/>
          <w:sz w:val="16"/>
        </w:rPr>
        <w:sectPr>
          <w:pgSz w:w="16840" w:h="11900" w:orient="landscape"/>
          <w:pgMar w:header="0" w:footer="1334" w:top="1100" w:bottom="1600" w:left="100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1"/>
        </w:rPr>
      </w:pPr>
    </w:p>
    <w:p>
      <w:pPr>
        <w:spacing w:line="240" w:lineRule="auto" w:before="0"/>
        <w:ind w:left="132" w:right="113" w:firstLine="0"/>
        <w:jc w:val="both"/>
        <w:rPr>
          <w:rFonts w:ascii="Verdana"/>
          <w:sz w:val="16"/>
        </w:rPr>
      </w:pPr>
      <w:r>
        <w:rPr>
          <w:rFonts w:ascii="Verdana"/>
          <w:sz w:val="16"/>
        </w:rPr>
        <w:t>The differences in PDI values for different years are based on a tiered increase in luminaire efficacy that is expected to be delivered by the LED industry, or 17 lm/W every two years between 2018 and 2023. The starting luminaire efficacies are 120 lm/W (core) and 130 lm/W (comp.) in 2018. A simplified calculation of the PDI reference values has been made, where PDI = 1 / (luminaire efficacy x maintenance factor x utilance).</w:t>
      </w:r>
    </w:p>
    <w:p>
      <w:pPr>
        <w:spacing w:line="288" w:lineRule="auto" w:before="41"/>
        <w:ind w:left="132" w:right="881" w:firstLine="0"/>
        <w:jc w:val="left"/>
        <w:rPr>
          <w:rFonts w:ascii="Verdana" w:hAnsi="Verdana"/>
          <w:sz w:val="16"/>
        </w:rPr>
      </w:pPr>
      <w:r>
        <w:rPr>
          <w:rFonts w:ascii="Verdana" w:hAnsi="Verdana"/>
          <w:sz w:val="16"/>
        </w:rPr>
        <w:t>For all PDI reference values a maintenance factor (MF) of 0.85 is assumed. The utilance values vary as a function of road width and criterion ambition level as follows: Core/Comp: ≤5m wide (U=0.42/0.5); 5-6m wide (U=0.49/0.55); 6-7m wide (U=0.56/0.6); 7-8m wide (U=0.63/0.7); 8-9m wide (U=0.7/0.75); ≥9m wide (U=0.7/0.75).</w:t>
      </w:r>
    </w:p>
    <w:sectPr>
      <w:pgSz w:w="16840" w:h="11900" w:orient="landscape"/>
      <w:pgMar w:header="0" w:footer="1334" w:top="1100" w:bottom="160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ourier New">
    <w:altName w:val="Courier New"/>
    <w:charset w:val="0"/>
    <w:family w:val="modern"/>
    <w:pitch w:val="fixed"/>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412.841003pt;margin-top:513.307617pt;width:16pt;height:15.3pt;mso-position-horizontal-relative:page;mso-position-vertical-relative:page;z-index:-79408" type="#_x0000_t202" filled="false" stroked="false">
          <v:textbox inset="0,0,0,0">
            <w:txbxContent>
              <w:p>
                <w:pPr>
                  <w:pStyle w:val="BodyText"/>
                  <w:spacing w:before="10"/>
                  <w:ind w:left="40"/>
                </w:pPr>
                <w:r>
                  <w:rPr/>
                  <w:fldChar w:fldCharType="begin"/>
                </w:r>
                <w:r>
                  <w:rPr/>
                  <w:instrText> PAGE </w:instrText>
                </w:r>
                <w:r>
                  <w:rPr/>
                  <w:fldChar w:fldCharType="separate"/>
                </w:r>
                <w:r>
                  <w:rPr/>
                  <w:t>12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52" w:hanging="360"/>
      </w:pPr>
      <w:rPr>
        <w:rFonts w:hint="default" w:ascii="Courier New" w:hAnsi="Courier New" w:eastAsia="Courier New" w:cs="Courier New"/>
        <w:w w:val="99"/>
        <w:sz w:val="24"/>
        <w:szCs w:val="24"/>
      </w:rPr>
    </w:lvl>
    <w:lvl w:ilvl="1">
      <w:start w:val="0"/>
      <w:numFmt w:val="bullet"/>
      <w:lvlText w:val="•"/>
      <w:lvlJc w:val="left"/>
      <w:pPr>
        <w:ind w:left="2256" w:hanging="360"/>
      </w:pPr>
      <w:rPr>
        <w:rFonts w:hint="default"/>
      </w:rPr>
    </w:lvl>
    <w:lvl w:ilvl="2">
      <w:start w:val="0"/>
      <w:numFmt w:val="bullet"/>
      <w:lvlText w:val="•"/>
      <w:lvlJc w:val="left"/>
      <w:pPr>
        <w:ind w:left="3652" w:hanging="360"/>
      </w:pPr>
      <w:rPr>
        <w:rFonts w:hint="default"/>
      </w:rPr>
    </w:lvl>
    <w:lvl w:ilvl="3">
      <w:start w:val="0"/>
      <w:numFmt w:val="bullet"/>
      <w:lvlText w:val="•"/>
      <w:lvlJc w:val="left"/>
      <w:pPr>
        <w:ind w:left="5048" w:hanging="360"/>
      </w:pPr>
      <w:rPr>
        <w:rFonts w:hint="default"/>
      </w:rPr>
    </w:lvl>
    <w:lvl w:ilvl="4">
      <w:start w:val="0"/>
      <w:numFmt w:val="bullet"/>
      <w:lvlText w:val="•"/>
      <w:lvlJc w:val="left"/>
      <w:pPr>
        <w:ind w:left="6444" w:hanging="360"/>
      </w:pPr>
      <w:rPr>
        <w:rFonts w:hint="default"/>
      </w:rPr>
    </w:lvl>
    <w:lvl w:ilvl="5">
      <w:start w:val="0"/>
      <w:numFmt w:val="bullet"/>
      <w:lvlText w:val="•"/>
      <w:lvlJc w:val="left"/>
      <w:pPr>
        <w:ind w:left="7840" w:hanging="360"/>
      </w:pPr>
      <w:rPr>
        <w:rFonts w:hint="default"/>
      </w:rPr>
    </w:lvl>
    <w:lvl w:ilvl="6">
      <w:start w:val="0"/>
      <w:numFmt w:val="bullet"/>
      <w:lvlText w:val="•"/>
      <w:lvlJc w:val="left"/>
      <w:pPr>
        <w:ind w:left="9236" w:hanging="360"/>
      </w:pPr>
      <w:rPr>
        <w:rFonts w:hint="default"/>
      </w:rPr>
    </w:lvl>
    <w:lvl w:ilvl="7">
      <w:start w:val="0"/>
      <w:numFmt w:val="bullet"/>
      <w:lvlText w:val="•"/>
      <w:lvlJc w:val="left"/>
      <w:pPr>
        <w:ind w:left="10632" w:hanging="360"/>
      </w:pPr>
      <w:rPr>
        <w:rFonts w:hint="default"/>
      </w:rPr>
    </w:lvl>
    <w:lvl w:ilvl="8">
      <w:start w:val="0"/>
      <w:numFmt w:val="bullet"/>
      <w:lvlText w:val="•"/>
      <w:lvlJc w:val="left"/>
      <w:pPr>
        <w:ind w:left="12028" w:hanging="360"/>
      </w:pPr>
      <w:rPr>
        <w:rFonts w:hint="default"/>
      </w:rPr>
    </w:lvl>
  </w:abstractNum>
  <w:abstractNum w:abstractNumId="40">
    <w:multiLevelType w:val="hybridMultilevel"/>
    <w:lvl w:ilvl="0">
      <w:start w:val="0"/>
      <w:numFmt w:val="bullet"/>
      <w:lvlText w:val="•"/>
      <w:lvlJc w:val="left"/>
      <w:pPr>
        <w:ind w:left="852" w:hanging="360"/>
      </w:pPr>
      <w:rPr>
        <w:rFonts w:hint="default" w:ascii="Courier New" w:hAnsi="Courier New" w:eastAsia="Courier New" w:cs="Courier New"/>
        <w:w w:val="99"/>
        <w:sz w:val="24"/>
        <w:szCs w:val="24"/>
      </w:rPr>
    </w:lvl>
    <w:lvl w:ilvl="1">
      <w:start w:val="0"/>
      <w:numFmt w:val="bullet"/>
      <w:lvlText w:val="•"/>
      <w:lvlJc w:val="left"/>
      <w:pPr>
        <w:ind w:left="2256" w:hanging="360"/>
      </w:pPr>
      <w:rPr>
        <w:rFonts w:hint="default"/>
      </w:rPr>
    </w:lvl>
    <w:lvl w:ilvl="2">
      <w:start w:val="0"/>
      <w:numFmt w:val="bullet"/>
      <w:lvlText w:val="•"/>
      <w:lvlJc w:val="left"/>
      <w:pPr>
        <w:ind w:left="3652" w:hanging="360"/>
      </w:pPr>
      <w:rPr>
        <w:rFonts w:hint="default"/>
      </w:rPr>
    </w:lvl>
    <w:lvl w:ilvl="3">
      <w:start w:val="0"/>
      <w:numFmt w:val="bullet"/>
      <w:lvlText w:val="•"/>
      <w:lvlJc w:val="left"/>
      <w:pPr>
        <w:ind w:left="5048" w:hanging="360"/>
      </w:pPr>
      <w:rPr>
        <w:rFonts w:hint="default"/>
      </w:rPr>
    </w:lvl>
    <w:lvl w:ilvl="4">
      <w:start w:val="0"/>
      <w:numFmt w:val="bullet"/>
      <w:lvlText w:val="•"/>
      <w:lvlJc w:val="left"/>
      <w:pPr>
        <w:ind w:left="6444" w:hanging="360"/>
      </w:pPr>
      <w:rPr>
        <w:rFonts w:hint="default"/>
      </w:rPr>
    </w:lvl>
    <w:lvl w:ilvl="5">
      <w:start w:val="0"/>
      <w:numFmt w:val="bullet"/>
      <w:lvlText w:val="•"/>
      <w:lvlJc w:val="left"/>
      <w:pPr>
        <w:ind w:left="7840" w:hanging="360"/>
      </w:pPr>
      <w:rPr>
        <w:rFonts w:hint="default"/>
      </w:rPr>
    </w:lvl>
    <w:lvl w:ilvl="6">
      <w:start w:val="0"/>
      <w:numFmt w:val="bullet"/>
      <w:lvlText w:val="•"/>
      <w:lvlJc w:val="left"/>
      <w:pPr>
        <w:ind w:left="9236" w:hanging="360"/>
      </w:pPr>
      <w:rPr>
        <w:rFonts w:hint="default"/>
      </w:rPr>
    </w:lvl>
    <w:lvl w:ilvl="7">
      <w:start w:val="0"/>
      <w:numFmt w:val="bullet"/>
      <w:lvlText w:val="•"/>
      <w:lvlJc w:val="left"/>
      <w:pPr>
        <w:ind w:left="10632" w:hanging="360"/>
      </w:pPr>
      <w:rPr>
        <w:rFonts w:hint="default"/>
      </w:rPr>
    </w:lvl>
    <w:lvl w:ilvl="8">
      <w:start w:val="0"/>
      <w:numFmt w:val="bullet"/>
      <w:lvlText w:val="•"/>
      <w:lvlJc w:val="left"/>
      <w:pPr>
        <w:ind w:left="12028" w:hanging="360"/>
      </w:pPr>
      <w:rPr>
        <w:rFonts w:hint="default"/>
      </w:rPr>
    </w:lvl>
  </w:abstractNum>
  <w:abstractNum w:abstractNumId="39">
    <w:multiLevelType w:val="hybridMultilevel"/>
    <w:lvl w:ilvl="0">
      <w:start w:val="0"/>
      <w:numFmt w:val="bullet"/>
      <w:lvlText w:val="•"/>
      <w:lvlJc w:val="left"/>
      <w:pPr>
        <w:ind w:left="904" w:hanging="360"/>
      </w:pPr>
      <w:rPr>
        <w:rFonts w:hint="default" w:ascii="Courier New" w:hAnsi="Courier New" w:eastAsia="Courier New" w:cs="Courier New"/>
        <w:w w:val="99"/>
        <w:sz w:val="24"/>
        <w:szCs w:val="24"/>
      </w:rPr>
    </w:lvl>
    <w:lvl w:ilvl="1">
      <w:start w:val="0"/>
      <w:numFmt w:val="bullet"/>
      <w:lvlText w:val="•"/>
      <w:lvlJc w:val="left"/>
      <w:pPr>
        <w:ind w:left="2259" w:hanging="360"/>
      </w:pPr>
      <w:rPr>
        <w:rFonts w:hint="default"/>
      </w:rPr>
    </w:lvl>
    <w:lvl w:ilvl="2">
      <w:start w:val="0"/>
      <w:numFmt w:val="bullet"/>
      <w:lvlText w:val="•"/>
      <w:lvlJc w:val="left"/>
      <w:pPr>
        <w:ind w:left="3619" w:hanging="360"/>
      </w:pPr>
      <w:rPr>
        <w:rFonts w:hint="default"/>
      </w:rPr>
    </w:lvl>
    <w:lvl w:ilvl="3">
      <w:start w:val="0"/>
      <w:numFmt w:val="bullet"/>
      <w:lvlText w:val="•"/>
      <w:lvlJc w:val="left"/>
      <w:pPr>
        <w:ind w:left="4978" w:hanging="360"/>
      </w:pPr>
      <w:rPr>
        <w:rFonts w:hint="default"/>
      </w:rPr>
    </w:lvl>
    <w:lvl w:ilvl="4">
      <w:start w:val="0"/>
      <w:numFmt w:val="bullet"/>
      <w:lvlText w:val="•"/>
      <w:lvlJc w:val="left"/>
      <w:pPr>
        <w:ind w:left="6338" w:hanging="360"/>
      </w:pPr>
      <w:rPr>
        <w:rFonts w:hint="default"/>
      </w:rPr>
    </w:lvl>
    <w:lvl w:ilvl="5">
      <w:start w:val="0"/>
      <w:numFmt w:val="bullet"/>
      <w:lvlText w:val="•"/>
      <w:lvlJc w:val="left"/>
      <w:pPr>
        <w:ind w:left="7698" w:hanging="360"/>
      </w:pPr>
      <w:rPr>
        <w:rFonts w:hint="default"/>
      </w:rPr>
    </w:lvl>
    <w:lvl w:ilvl="6">
      <w:start w:val="0"/>
      <w:numFmt w:val="bullet"/>
      <w:lvlText w:val="•"/>
      <w:lvlJc w:val="left"/>
      <w:pPr>
        <w:ind w:left="9057" w:hanging="360"/>
      </w:pPr>
      <w:rPr>
        <w:rFonts w:hint="default"/>
      </w:rPr>
    </w:lvl>
    <w:lvl w:ilvl="7">
      <w:start w:val="0"/>
      <w:numFmt w:val="bullet"/>
      <w:lvlText w:val="•"/>
      <w:lvlJc w:val="left"/>
      <w:pPr>
        <w:ind w:left="10417" w:hanging="360"/>
      </w:pPr>
      <w:rPr>
        <w:rFonts w:hint="default"/>
      </w:rPr>
    </w:lvl>
    <w:lvl w:ilvl="8">
      <w:start w:val="0"/>
      <w:numFmt w:val="bullet"/>
      <w:lvlText w:val="•"/>
      <w:lvlJc w:val="left"/>
      <w:pPr>
        <w:ind w:left="11776" w:hanging="360"/>
      </w:pPr>
      <w:rPr>
        <w:rFonts w:hint="default"/>
      </w:rPr>
    </w:lvl>
  </w:abstractNum>
  <w:abstractNum w:abstractNumId="38">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1462" w:hanging="360"/>
      </w:pPr>
      <w:rPr>
        <w:rFonts w:hint="default"/>
      </w:rPr>
    </w:lvl>
    <w:lvl w:ilvl="2">
      <w:start w:val="0"/>
      <w:numFmt w:val="bullet"/>
      <w:lvlText w:val="•"/>
      <w:lvlJc w:val="left"/>
      <w:pPr>
        <w:ind w:left="2104" w:hanging="360"/>
      </w:pPr>
      <w:rPr>
        <w:rFonts w:hint="default"/>
      </w:rPr>
    </w:lvl>
    <w:lvl w:ilvl="3">
      <w:start w:val="0"/>
      <w:numFmt w:val="bullet"/>
      <w:lvlText w:val="•"/>
      <w:lvlJc w:val="left"/>
      <w:pPr>
        <w:ind w:left="2746" w:hanging="360"/>
      </w:pPr>
      <w:rPr>
        <w:rFonts w:hint="default"/>
      </w:rPr>
    </w:lvl>
    <w:lvl w:ilvl="4">
      <w:start w:val="0"/>
      <w:numFmt w:val="bullet"/>
      <w:lvlText w:val="•"/>
      <w:lvlJc w:val="left"/>
      <w:pPr>
        <w:ind w:left="3389" w:hanging="360"/>
      </w:pPr>
      <w:rPr>
        <w:rFonts w:hint="default"/>
      </w:rPr>
    </w:lvl>
    <w:lvl w:ilvl="5">
      <w:start w:val="0"/>
      <w:numFmt w:val="bullet"/>
      <w:lvlText w:val="•"/>
      <w:lvlJc w:val="left"/>
      <w:pPr>
        <w:ind w:left="4031" w:hanging="360"/>
      </w:pPr>
      <w:rPr>
        <w:rFonts w:hint="default"/>
      </w:rPr>
    </w:lvl>
    <w:lvl w:ilvl="6">
      <w:start w:val="0"/>
      <w:numFmt w:val="bullet"/>
      <w:lvlText w:val="•"/>
      <w:lvlJc w:val="left"/>
      <w:pPr>
        <w:ind w:left="4673" w:hanging="360"/>
      </w:pPr>
      <w:rPr>
        <w:rFonts w:hint="default"/>
      </w:rPr>
    </w:lvl>
    <w:lvl w:ilvl="7">
      <w:start w:val="0"/>
      <w:numFmt w:val="bullet"/>
      <w:lvlText w:val="•"/>
      <w:lvlJc w:val="left"/>
      <w:pPr>
        <w:ind w:left="5316" w:hanging="360"/>
      </w:pPr>
      <w:rPr>
        <w:rFonts w:hint="default"/>
      </w:rPr>
    </w:lvl>
    <w:lvl w:ilvl="8">
      <w:start w:val="0"/>
      <w:numFmt w:val="bullet"/>
      <w:lvlText w:val="•"/>
      <w:lvlJc w:val="left"/>
      <w:pPr>
        <w:ind w:left="5958" w:hanging="360"/>
      </w:pPr>
      <w:rPr>
        <w:rFonts w:hint="default"/>
      </w:rPr>
    </w:lvl>
  </w:abstractNum>
  <w:abstractNum w:abstractNumId="37">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1480" w:hanging="360"/>
      </w:pPr>
      <w:rPr>
        <w:rFonts w:hint="default"/>
      </w:rPr>
    </w:lvl>
    <w:lvl w:ilvl="2">
      <w:start w:val="0"/>
      <w:numFmt w:val="bullet"/>
      <w:lvlText w:val="•"/>
      <w:lvlJc w:val="left"/>
      <w:pPr>
        <w:ind w:left="2120" w:hanging="360"/>
      </w:pPr>
      <w:rPr>
        <w:rFonts w:hint="default"/>
      </w:rPr>
    </w:lvl>
    <w:lvl w:ilvl="3">
      <w:start w:val="0"/>
      <w:numFmt w:val="bullet"/>
      <w:lvlText w:val="•"/>
      <w:lvlJc w:val="left"/>
      <w:pPr>
        <w:ind w:left="2760" w:hanging="360"/>
      </w:pPr>
      <w:rPr>
        <w:rFonts w:hint="default"/>
      </w:rPr>
    </w:lvl>
    <w:lvl w:ilvl="4">
      <w:start w:val="0"/>
      <w:numFmt w:val="bullet"/>
      <w:lvlText w:val="•"/>
      <w:lvlJc w:val="left"/>
      <w:pPr>
        <w:ind w:left="3401" w:hanging="360"/>
      </w:pPr>
      <w:rPr>
        <w:rFonts w:hint="default"/>
      </w:rPr>
    </w:lvl>
    <w:lvl w:ilvl="5">
      <w:start w:val="0"/>
      <w:numFmt w:val="bullet"/>
      <w:lvlText w:val="•"/>
      <w:lvlJc w:val="left"/>
      <w:pPr>
        <w:ind w:left="4041" w:hanging="360"/>
      </w:pPr>
      <w:rPr>
        <w:rFonts w:hint="default"/>
      </w:rPr>
    </w:lvl>
    <w:lvl w:ilvl="6">
      <w:start w:val="0"/>
      <w:numFmt w:val="bullet"/>
      <w:lvlText w:val="•"/>
      <w:lvlJc w:val="left"/>
      <w:pPr>
        <w:ind w:left="4681" w:hanging="360"/>
      </w:pPr>
      <w:rPr>
        <w:rFonts w:hint="default"/>
      </w:rPr>
    </w:lvl>
    <w:lvl w:ilvl="7">
      <w:start w:val="0"/>
      <w:numFmt w:val="bullet"/>
      <w:lvlText w:val="•"/>
      <w:lvlJc w:val="left"/>
      <w:pPr>
        <w:ind w:left="5322" w:hanging="360"/>
      </w:pPr>
      <w:rPr>
        <w:rFonts w:hint="default"/>
      </w:rPr>
    </w:lvl>
    <w:lvl w:ilvl="8">
      <w:start w:val="0"/>
      <w:numFmt w:val="bullet"/>
      <w:lvlText w:val="•"/>
      <w:lvlJc w:val="left"/>
      <w:pPr>
        <w:ind w:left="5962" w:hanging="360"/>
      </w:pPr>
      <w:rPr>
        <w:rFonts w:hint="default"/>
      </w:rPr>
    </w:lvl>
  </w:abstractNum>
  <w:abstractNum w:abstractNumId="36">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2205" w:hanging="360"/>
      </w:pPr>
      <w:rPr>
        <w:rFonts w:hint="default"/>
      </w:rPr>
    </w:lvl>
    <w:lvl w:ilvl="2">
      <w:start w:val="0"/>
      <w:numFmt w:val="bullet"/>
      <w:lvlText w:val="•"/>
      <w:lvlJc w:val="left"/>
      <w:pPr>
        <w:ind w:left="3571" w:hanging="360"/>
      </w:pPr>
      <w:rPr>
        <w:rFonts w:hint="default"/>
      </w:rPr>
    </w:lvl>
    <w:lvl w:ilvl="3">
      <w:start w:val="0"/>
      <w:numFmt w:val="bullet"/>
      <w:lvlText w:val="•"/>
      <w:lvlJc w:val="left"/>
      <w:pPr>
        <w:ind w:left="4936" w:hanging="360"/>
      </w:pPr>
      <w:rPr>
        <w:rFonts w:hint="default"/>
      </w:rPr>
    </w:lvl>
    <w:lvl w:ilvl="4">
      <w:start w:val="0"/>
      <w:numFmt w:val="bullet"/>
      <w:lvlText w:val="•"/>
      <w:lvlJc w:val="left"/>
      <w:pPr>
        <w:ind w:left="6302" w:hanging="360"/>
      </w:pPr>
      <w:rPr>
        <w:rFonts w:hint="default"/>
      </w:rPr>
    </w:lvl>
    <w:lvl w:ilvl="5">
      <w:start w:val="0"/>
      <w:numFmt w:val="bullet"/>
      <w:lvlText w:val="•"/>
      <w:lvlJc w:val="left"/>
      <w:pPr>
        <w:ind w:left="7668" w:hanging="360"/>
      </w:pPr>
      <w:rPr>
        <w:rFonts w:hint="default"/>
      </w:rPr>
    </w:lvl>
    <w:lvl w:ilvl="6">
      <w:start w:val="0"/>
      <w:numFmt w:val="bullet"/>
      <w:lvlText w:val="•"/>
      <w:lvlJc w:val="left"/>
      <w:pPr>
        <w:ind w:left="9033" w:hanging="360"/>
      </w:pPr>
      <w:rPr>
        <w:rFonts w:hint="default"/>
      </w:rPr>
    </w:lvl>
    <w:lvl w:ilvl="7">
      <w:start w:val="0"/>
      <w:numFmt w:val="bullet"/>
      <w:lvlText w:val="•"/>
      <w:lvlJc w:val="left"/>
      <w:pPr>
        <w:ind w:left="10399" w:hanging="360"/>
      </w:pPr>
      <w:rPr>
        <w:rFonts w:hint="default"/>
      </w:rPr>
    </w:lvl>
    <w:lvl w:ilvl="8">
      <w:start w:val="0"/>
      <w:numFmt w:val="bullet"/>
      <w:lvlText w:val="•"/>
      <w:lvlJc w:val="left"/>
      <w:pPr>
        <w:ind w:left="11764" w:hanging="360"/>
      </w:pPr>
      <w:rPr>
        <w:rFonts w:hint="default"/>
      </w:rPr>
    </w:lvl>
  </w:abstractNum>
  <w:abstractNum w:abstractNumId="35">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2205" w:hanging="360"/>
      </w:pPr>
      <w:rPr>
        <w:rFonts w:hint="default"/>
      </w:rPr>
    </w:lvl>
    <w:lvl w:ilvl="2">
      <w:start w:val="0"/>
      <w:numFmt w:val="bullet"/>
      <w:lvlText w:val="•"/>
      <w:lvlJc w:val="left"/>
      <w:pPr>
        <w:ind w:left="3571" w:hanging="360"/>
      </w:pPr>
      <w:rPr>
        <w:rFonts w:hint="default"/>
      </w:rPr>
    </w:lvl>
    <w:lvl w:ilvl="3">
      <w:start w:val="0"/>
      <w:numFmt w:val="bullet"/>
      <w:lvlText w:val="•"/>
      <w:lvlJc w:val="left"/>
      <w:pPr>
        <w:ind w:left="4936" w:hanging="360"/>
      </w:pPr>
      <w:rPr>
        <w:rFonts w:hint="default"/>
      </w:rPr>
    </w:lvl>
    <w:lvl w:ilvl="4">
      <w:start w:val="0"/>
      <w:numFmt w:val="bullet"/>
      <w:lvlText w:val="•"/>
      <w:lvlJc w:val="left"/>
      <w:pPr>
        <w:ind w:left="6302" w:hanging="360"/>
      </w:pPr>
      <w:rPr>
        <w:rFonts w:hint="default"/>
      </w:rPr>
    </w:lvl>
    <w:lvl w:ilvl="5">
      <w:start w:val="0"/>
      <w:numFmt w:val="bullet"/>
      <w:lvlText w:val="•"/>
      <w:lvlJc w:val="left"/>
      <w:pPr>
        <w:ind w:left="7668" w:hanging="360"/>
      </w:pPr>
      <w:rPr>
        <w:rFonts w:hint="default"/>
      </w:rPr>
    </w:lvl>
    <w:lvl w:ilvl="6">
      <w:start w:val="0"/>
      <w:numFmt w:val="bullet"/>
      <w:lvlText w:val="•"/>
      <w:lvlJc w:val="left"/>
      <w:pPr>
        <w:ind w:left="9033" w:hanging="360"/>
      </w:pPr>
      <w:rPr>
        <w:rFonts w:hint="default"/>
      </w:rPr>
    </w:lvl>
    <w:lvl w:ilvl="7">
      <w:start w:val="0"/>
      <w:numFmt w:val="bullet"/>
      <w:lvlText w:val="•"/>
      <w:lvlJc w:val="left"/>
      <w:pPr>
        <w:ind w:left="10399" w:hanging="360"/>
      </w:pPr>
      <w:rPr>
        <w:rFonts w:hint="default"/>
      </w:rPr>
    </w:lvl>
    <w:lvl w:ilvl="8">
      <w:start w:val="0"/>
      <w:numFmt w:val="bullet"/>
      <w:lvlText w:val="•"/>
      <w:lvlJc w:val="left"/>
      <w:pPr>
        <w:ind w:left="11764" w:hanging="360"/>
      </w:pPr>
      <w:rPr>
        <w:rFonts w:hint="default"/>
      </w:rPr>
    </w:lvl>
  </w:abstractNum>
  <w:abstractNum w:abstractNumId="34">
    <w:multiLevelType w:val="hybridMultilevel"/>
    <w:lvl w:ilvl="0">
      <w:start w:val="0"/>
      <w:numFmt w:val="bullet"/>
      <w:lvlText w:val="•"/>
      <w:lvlJc w:val="left"/>
      <w:pPr>
        <w:ind w:left="904" w:hanging="360"/>
      </w:pPr>
      <w:rPr>
        <w:rFonts w:hint="default" w:ascii="Courier New" w:hAnsi="Courier New" w:eastAsia="Courier New" w:cs="Courier New"/>
        <w:w w:val="99"/>
        <w:sz w:val="24"/>
        <w:szCs w:val="24"/>
      </w:rPr>
    </w:lvl>
    <w:lvl w:ilvl="1">
      <w:start w:val="0"/>
      <w:numFmt w:val="bullet"/>
      <w:lvlText w:val="•"/>
      <w:lvlJc w:val="left"/>
      <w:pPr>
        <w:ind w:left="2259" w:hanging="360"/>
      </w:pPr>
      <w:rPr>
        <w:rFonts w:hint="default"/>
      </w:rPr>
    </w:lvl>
    <w:lvl w:ilvl="2">
      <w:start w:val="0"/>
      <w:numFmt w:val="bullet"/>
      <w:lvlText w:val="•"/>
      <w:lvlJc w:val="left"/>
      <w:pPr>
        <w:ind w:left="3619" w:hanging="360"/>
      </w:pPr>
      <w:rPr>
        <w:rFonts w:hint="default"/>
      </w:rPr>
    </w:lvl>
    <w:lvl w:ilvl="3">
      <w:start w:val="0"/>
      <w:numFmt w:val="bullet"/>
      <w:lvlText w:val="•"/>
      <w:lvlJc w:val="left"/>
      <w:pPr>
        <w:ind w:left="4978" w:hanging="360"/>
      </w:pPr>
      <w:rPr>
        <w:rFonts w:hint="default"/>
      </w:rPr>
    </w:lvl>
    <w:lvl w:ilvl="4">
      <w:start w:val="0"/>
      <w:numFmt w:val="bullet"/>
      <w:lvlText w:val="•"/>
      <w:lvlJc w:val="left"/>
      <w:pPr>
        <w:ind w:left="6338" w:hanging="360"/>
      </w:pPr>
      <w:rPr>
        <w:rFonts w:hint="default"/>
      </w:rPr>
    </w:lvl>
    <w:lvl w:ilvl="5">
      <w:start w:val="0"/>
      <w:numFmt w:val="bullet"/>
      <w:lvlText w:val="•"/>
      <w:lvlJc w:val="left"/>
      <w:pPr>
        <w:ind w:left="7698" w:hanging="360"/>
      </w:pPr>
      <w:rPr>
        <w:rFonts w:hint="default"/>
      </w:rPr>
    </w:lvl>
    <w:lvl w:ilvl="6">
      <w:start w:val="0"/>
      <w:numFmt w:val="bullet"/>
      <w:lvlText w:val="•"/>
      <w:lvlJc w:val="left"/>
      <w:pPr>
        <w:ind w:left="9057" w:hanging="360"/>
      </w:pPr>
      <w:rPr>
        <w:rFonts w:hint="default"/>
      </w:rPr>
    </w:lvl>
    <w:lvl w:ilvl="7">
      <w:start w:val="0"/>
      <w:numFmt w:val="bullet"/>
      <w:lvlText w:val="•"/>
      <w:lvlJc w:val="left"/>
      <w:pPr>
        <w:ind w:left="10417" w:hanging="360"/>
      </w:pPr>
      <w:rPr>
        <w:rFonts w:hint="default"/>
      </w:rPr>
    </w:lvl>
    <w:lvl w:ilvl="8">
      <w:start w:val="0"/>
      <w:numFmt w:val="bullet"/>
      <w:lvlText w:val="•"/>
      <w:lvlJc w:val="left"/>
      <w:pPr>
        <w:ind w:left="11776" w:hanging="360"/>
      </w:pPr>
      <w:rPr>
        <w:rFonts w:hint="default"/>
      </w:rPr>
    </w:lvl>
  </w:abstractNum>
  <w:abstractNum w:abstractNumId="33">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2205" w:hanging="360"/>
      </w:pPr>
      <w:rPr>
        <w:rFonts w:hint="default"/>
      </w:rPr>
    </w:lvl>
    <w:lvl w:ilvl="2">
      <w:start w:val="0"/>
      <w:numFmt w:val="bullet"/>
      <w:lvlText w:val="•"/>
      <w:lvlJc w:val="left"/>
      <w:pPr>
        <w:ind w:left="3571" w:hanging="360"/>
      </w:pPr>
      <w:rPr>
        <w:rFonts w:hint="default"/>
      </w:rPr>
    </w:lvl>
    <w:lvl w:ilvl="3">
      <w:start w:val="0"/>
      <w:numFmt w:val="bullet"/>
      <w:lvlText w:val="•"/>
      <w:lvlJc w:val="left"/>
      <w:pPr>
        <w:ind w:left="4936" w:hanging="360"/>
      </w:pPr>
      <w:rPr>
        <w:rFonts w:hint="default"/>
      </w:rPr>
    </w:lvl>
    <w:lvl w:ilvl="4">
      <w:start w:val="0"/>
      <w:numFmt w:val="bullet"/>
      <w:lvlText w:val="•"/>
      <w:lvlJc w:val="left"/>
      <w:pPr>
        <w:ind w:left="6302" w:hanging="360"/>
      </w:pPr>
      <w:rPr>
        <w:rFonts w:hint="default"/>
      </w:rPr>
    </w:lvl>
    <w:lvl w:ilvl="5">
      <w:start w:val="0"/>
      <w:numFmt w:val="bullet"/>
      <w:lvlText w:val="•"/>
      <w:lvlJc w:val="left"/>
      <w:pPr>
        <w:ind w:left="7668" w:hanging="360"/>
      </w:pPr>
      <w:rPr>
        <w:rFonts w:hint="default"/>
      </w:rPr>
    </w:lvl>
    <w:lvl w:ilvl="6">
      <w:start w:val="0"/>
      <w:numFmt w:val="bullet"/>
      <w:lvlText w:val="•"/>
      <w:lvlJc w:val="left"/>
      <w:pPr>
        <w:ind w:left="9033" w:hanging="360"/>
      </w:pPr>
      <w:rPr>
        <w:rFonts w:hint="default"/>
      </w:rPr>
    </w:lvl>
    <w:lvl w:ilvl="7">
      <w:start w:val="0"/>
      <w:numFmt w:val="bullet"/>
      <w:lvlText w:val="•"/>
      <w:lvlJc w:val="left"/>
      <w:pPr>
        <w:ind w:left="10399" w:hanging="360"/>
      </w:pPr>
      <w:rPr>
        <w:rFonts w:hint="default"/>
      </w:rPr>
    </w:lvl>
    <w:lvl w:ilvl="8">
      <w:start w:val="0"/>
      <w:numFmt w:val="bullet"/>
      <w:lvlText w:val="•"/>
      <w:lvlJc w:val="left"/>
      <w:pPr>
        <w:ind w:left="11764" w:hanging="360"/>
      </w:pPr>
      <w:rPr>
        <w:rFonts w:hint="default"/>
      </w:rPr>
    </w:lvl>
  </w:abstractNum>
  <w:abstractNum w:abstractNumId="32">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1471" w:hanging="360"/>
      </w:pPr>
      <w:rPr>
        <w:rFonts w:hint="default"/>
      </w:rPr>
    </w:lvl>
    <w:lvl w:ilvl="2">
      <w:start w:val="0"/>
      <w:numFmt w:val="bullet"/>
      <w:lvlText w:val="•"/>
      <w:lvlJc w:val="left"/>
      <w:pPr>
        <w:ind w:left="2103" w:hanging="360"/>
      </w:pPr>
      <w:rPr>
        <w:rFonts w:hint="default"/>
      </w:rPr>
    </w:lvl>
    <w:lvl w:ilvl="3">
      <w:start w:val="0"/>
      <w:numFmt w:val="bullet"/>
      <w:lvlText w:val="•"/>
      <w:lvlJc w:val="left"/>
      <w:pPr>
        <w:ind w:left="2734" w:hanging="360"/>
      </w:pPr>
      <w:rPr>
        <w:rFonts w:hint="default"/>
      </w:rPr>
    </w:lvl>
    <w:lvl w:ilvl="4">
      <w:start w:val="0"/>
      <w:numFmt w:val="bullet"/>
      <w:lvlText w:val="•"/>
      <w:lvlJc w:val="left"/>
      <w:pPr>
        <w:ind w:left="3366" w:hanging="360"/>
      </w:pPr>
      <w:rPr>
        <w:rFonts w:hint="default"/>
      </w:rPr>
    </w:lvl>
    <w:lvl w:ilvl="5">
      <w:start w:val="0"/>
      <w:numFmt w:val="bullet"/>
      <w:lvlText w:val="•"/>
      <w:lvlJc w:val="left"/>
      <w:pPr>
        <w:ind w:left="3998" w:hanging="360"/>
      </w:pPr>
      <w:rPr>
        <w:rFonts w:hint="default"/>
      </w:rPr>
    </w:lvl>
    <w:lvl w:ilvl="6">
      <w:start w:val="0"/>
      <w:numFmt w:val="bullet"/>
      <w:lvlText w:val="•"/>
      <w:lvlJc w:val="left"/>
      <w:pPr>
        <w:ind w:left="4629" w:hanging="360"/>
      </w:pPr>
      <w:rPr>
        <w:rFonts w:hint="default"/>
      </w:rPr>
    </w:lvl>
    <w:lvl w:ilvl="7">
      <w:start w:val="0"/>
      <w:numFmt w:val="bullet"/>
      <w:lvlText w:val="•"/>
      <w:lvlJc w:val="left"/>
      <w:pPr>
        <w:ind w:left="5261" w:hanging="360"/>
      </w:pPr>
      <w:rPr>
        <w:rFonts w:hint="default"/>
      </w:rPr>
    </w:lvl>
    <w:lvl w:ilvl="8">
      <w:start w:val="0"/>
      <w:numFmt w:val="bullet"/>
      <w:lvlText w:val="•"/>
      <w:lvlJc w:val="left"/>
      <w:pPr>
        <w:ind w:left="5892" w:hanging="360"/>
      </w:pPr>
      <w:rPr>
        <w:rFonts w:hint="default"/>
      </w:rPr>
    </w:lvl>
  </w:abstractNum>
  <w:abstractNum w:abstractNumId="31">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1488" w:hanging="360"/>
      </w:pPr>
      <w:rPr>
        <w:rFonts w:hint="default"/>
      </w:rPr>
    </w:lvl>
    <w:lvl w:ilvl="2">
      <w:start w:val="0"/>
      <w:numFmt w:val="bullet"/>
      <w:lvlText w:val="•"/>
      <w:lvlJc w:val="left"/>
      <w:pPr>
        <w:ind w:left="2137" w:hanging="360"/>
      </w:pPr>
      <w:rPr>
        <w:rFonts w:hint="default"/>
      </w:rPr>
    </w:lvl>
    <w:lvl w:ilvl="3">
      <w:start w:val="0"/>
      <w:numFmt w:val="bullet"/>
      <w:lvlText w:val="•"/>
      <w:lvlJc w:val="left"/>
      <w:pPr>
        <w:ind w:left="2786" w:hanging="360"/>
      </w:pPr>
      <w:rPr>
        <w:rFonts w:hint="default"/>
      </w:rPr>
    </w:lvl>
    <w:lvl w:ilvl="4">
      <w:start w:val="0"/>
      <w:numFmt w:val="bullet"/>
      <w:lvlText w:val="•"/>
      <w:lvlJc w:val="left"/>
      <w:pPr>
        <w:ind w:left="3435" w:hanging="360"/>
      </w:pPr>
      <w:rPr>
        <w:rFonts w:hint="default"/>
      </w:rPr>
    </w:lvl>
    <w:lvl w:ilvl="5">
      <w:start w:val="0"/>
      <w:numFmt w:val="bullet"/>
      <w:lvlText w:val="•"/>
      <w:lvlJc w:val="left"/>
      <w:pPr>
        <w:ind w:left="4084" w:hanging="360"/>
      </w:pPr>
      <w:rPr>
        <w:rFonts w:hint="default"/>
      </w:rPr>
    </w:lvl>
    <w:lvl w:ilvl="6">
      <w:start w:val="0"/>
      <w:numFmt w:val="bullet"/>
      <w:lvlText w:val="•"/>
      <w:lvlJc w:val="left"/>
      <w:pPr>
        <w:ind w:left="4733" w:hanging="360"/>
      </w:pPr>
      <w:rPr>
        <w:rFonts w:hint="default"/>
      </w:rPr>
    </w:lvl>
    <w:lvl w:ilvl="7">
      <w:start w:val="0"/>
      <w:numFmt w:val="bullet"/>
      <w:lvlText w:val="•"/>
      <w:lvlJc w:val="left"/>
      <w:pPr>
        <w:ind w:left="5382" w:hanging="360"/>
      </w:pPr>
      <w:rPr>
        <w:rFonts w:hint="default"/>
      </w:rPr>
    </w:lvl>
    <w:lvl w:ilvl="8">
      <w:start w:val="0"/>
      <w:numFmt w:val="bullet"/>
      <w:lvlText w:val="•"/>
      <w:lvlJc w:val="left"/>
      <w:pPr>
        <w:ind w:left="6031" w:hanging="360"/>
      </w:pPr>
      <w:rPr>
        <w:rFonts w:hint="default"/>
      </w:rPr>
    </w:lvl>
  </w:abstractNum>
  <w:abstractNum w:abstractNumId="30">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2205" w:hanging="360"/>
      </w:pPr>
      <w:rPr>
        <w:rFonts w:hint="default"/>
      </w:rPr>
    </w:lvl>
    <w:lvl w:ilvl="2">
      <w:start w:val="0"/>
      <w:numFmt w:val="bullet"/>
      <w:lvlText w:val="•"/>
      <w:lvlJc w:val="left"/>
      <w:pPr>
        <w:ind w:left="3571" w:hanging="360"/>
      </w:pPr>
      <w:rPr>
        <w:rFonts w:hint="default"/>
      </w:rPr>
    </w:lvl>
    <w:lvl w:ilvl="3">
      <w:start w:val="0"/>
      <w:numFmt w:val="bullet"/>
      <w:lvlText w:val="•"/>
      <w:lvlJc w:val="left"/>
      <w:pPr>
        <w:ind w:left="4936" w:hanging="360"/>
      </w:pPr>
      <w:rPr>
        <w:rFonts w:hint="default"/>
      </w:rPr>
    </w:lvl>
    <w:lvl w:ilvl="4">
      <w:start w:val="0"/>
      <w:numFmt w:val="bullet"/>
      <w:lvlText w:val="•"/>
      <w:lvlJc w:val="left"/>
      <w:pPr>
        <w:ind w:left="6302" w:hanging="360"/>
      </w:pPr>
      <w:rPr>
        <w:rFonts w:hint="default"/>
      </w:rPr>
    </w:lvl>
    <w:lvl w:ilvl="5">
      <w:start w:val="0"/>
      <w:numFmt w:val="bullet"/>
      <w:lvlText w:val="•"/>
      <w:lvlJc w:val="left"/>
      <w:pPr>
        <w:ind w:left="7667" w:hanging="360"/>
      </w:pPr>
      <w:rPr>
        <w:rFonts w:hint="default"/>
      </w:rPr>
    </w:lvl>
    <w:lvl w:ilvl="6">
      <w:start w:val="0"/>
      <w:numFmt w:val="bullet"/>
      <w:lvlText w:val="•"/>
      <w:lvlJc w:val="left"/>
      <w:pPr>
        <w:ind w:left="9033" w:hanging="360"/>
      </w:pPr>
      <w:rPr>
        <w:rFonts w:hint="default"/>
      </w:rPr>
    </w:lvl>
    <w:lvl w:ilvl="7">
      <w:start w:val="0"/>
      <w:numFmt w:val="bullet"/>
      <w:lvlText w:val="•"/>
      <w:lvlJc w:val="left"/>
      <w:pPr>
        <w:ind w:left="10398" w:hanging="360"/>
      </w:pPr>
      <w:rPr>
        <w:rFonts w:hint="default"/>
      </w:rPr>
    </w:lvl>
    <w:lvl w:ilvl="8">
      <w:start w:val="0"/>
      <w:numFmt w:val="bullet"/>
      <w:lvlText w:val="•"/>
      <w:lvlJc w:val="left"/>
      <w:pPr>
        <w:ind w:left="11764" w:hanging="360"/>
      </w:pPr>
      <w:rPr>
        <w:rFonts w:hint="default"/>
      </w:rPr>
    </w:lvl>
  </w:abstractNum>
  <w:abstractNum w:abstractNumId="29">
    <w:multiLevelType w:val="hybridMultilevel"/>
    <w:lvl w:ilvl="0">
      <w:start w:val="0"/>
      <w:numFmt w:val="bullet"/>
      <w:lvlText w:val="-"/>
      <w:lvlJc w:val="left"/>
      <w:pPr>
        <w:ind w:left="107" w:hanging="148"/>
      </w:pPr>
      <w:rPr>
        <w:rFonts w:hint="default" w:ascii="Times New Roman" w:hAnsi="Times New Roman" w:eastAsia="Times New Roman" w:cs="Times New Roman"/>
        <w:w w:val="100"/>
        <w:sz w:val="24"/>
        <w:szCs w:val="24"/>
      </w:rPr>
    </w:lvl>
    <w:lvl w:ilvl="1">
      <w:start w:val="0"/>
      <w:numFmt w:val="bullet"/>
      <w:lvlText w:val="•"/>
      <w:lvlJc w:val="left"/>
      <w:pPr>
        <w:ind w:left="814" w:hanging="148"/>
      </w:pPr>
      <w:rPr>
        <w:rFonts w:hint="default"/>
      </w:rPr>
    </w:lvl>
    <w:lvl w:ilvl="2">
      <w:start w:val="0"/>
      <w:numFmt w:val="bullet"/>
      <w:lvlText w:val="•"/>
      <w:lvlJc w:val="left"/>
      <w:pPr>
        <w:ind w:left="1528" w:hanging="148"/>
      </w:pPr>
      <w:rPr>
        <w:rFonts w:hint="default"/>
      </w:rPr>
    </w:lvl>
    <w:lvl w:ilvl="3">
      <w:start w:val="0"/>
      <w:numFmt w:val="bullet"/>
      <w:lvlText w:val="•"/>
      <w:lvlJc w:val="left"/>
      <w:pPr>
        <w:ind w:left="2242" w:hanging="148"/>
      </w:pPr>
      <w:rPr>
        <w:rFonts w:hint="default"/>
      </w:rPr>
    </w:lvl>
    <w:lvl w:ilvl="4">
      <w:start w:val="0"/>
      <w:numFmt w:val="bullet"/>
      <w:lvlText w:val="•"/>
      <w:lvlJc w:val="left"/>
      <w:pPr>
        <w:ind w:left="2957" w:hanging="148"/>
      </w:pPr>
      <w:rPr>
        <w:rFonts w:hint="default"/>
      </w:rPr>
    </w:lvl>
    <w:lvl w:ilvl="5">
      <w:start w:val="0"/>
      <w:numFmt w:val="bullet"/>
      <w:lvlText w:val="•"/>
      <w:lvlJc w:val="left"/>
      <w:pPr>
        <w:ind w:left="3671" w:hanging="148"/>
      </w:pPr>
      <w:rPr>
        <w:rFonts w:hint="default"/>
      </w:rPr>
    </w:lvl>
    <w:lvl w:ilvl="6">
      <w:start w:val="0"/>
      <w:numFmt w:val="bullet"/>
      <w:lvlText w:val="•"/>
      <w:lvlJc w:val="left"/>
      <w:pPr>
        <w:ind w:left="4385" w:hanging="148"/>
      </w:pPr>
      <w:rPr>
        <w:rFonts w:hint="default"/>
      </w:rPr>
    </w:lvl>
    <w:lvl w:ilvl="7">
      <w:start w:val="0"/>
      <w:numFmt w:val="bullet"/>
      <w:lvlText w:val="•"/>
      <w:lvlJc w:val="left"/>
      <w:pPr>
        <w:ind w:left="5100" w:hanging="148"/>
      </w:pPr>
      <w:rPr>
        <w:rFonts w:hint="default"/>
      </w:rPr>
    </w:lvl>
    <w:lvl w:ilvl="8">
      <w:start w:val="0"/>
      <w:numFmt w:val="bullet"/>
      <w:lvlText w:val="•"/>
      <w:lvlJc w:val="left"/>
      <w:pPr>
        <w:ind w:left="5814" w:hanging="148"/>
      </w:pPr>
      <w:rPr>
        <w:rFonts w:hint="default"/>
      </w:rPr>
    </w:lvl>
  </w:abstractNum>
  <w:abstractNum w:abstractNumId="28">
    <w:multiLevelType w:val="hybridMultilevel"/>
    <w:lvl w:ilvl="0">
      <w:start w:val="0"/>
      <w:numFmt w:val="bullet"/>
      <w:lvlText w:val="-"/>
      <w:lvlJc w:val="left"/>
      <w:pPr>
        <w:ind w:left="110" w:hanging="148"/>
      </w:pPr>
      <w:rPr>
        <w:rFonts w:hint="default" w:ascii="Times New Roman" w:hAnsi="Times New Roman" w:eastAsia="Times New Roman" w:cs="Times New Roman"/>
        <w:w w:val="100"/>
        <w:sz w:val="24"/>
        <w:szCs w:val="24"/>
      </w:rPr>
    </w:lvl>
    <w:lvl w:ilvl="1">
      <w:start w:val="0"/>
      <w:numFmt w:val="bullet"/>
      <w:lvlText w:val="•"/>
      <w:lvlJc w:val="left"/>
      <w:pPr>
        <w:ind w:left="832" w:hanging="148"/>
      </w:pPr>
      <w:rPr>
        <w:rFonts w:hint="default"/>
      </w:rPr>
    </w:lvl>
    <w:lvl w:ilvl="2">
      <w:start w:val="0"/>
      <w:numFmt w:val="bullet"/>
      <w:lvlText w:val="•"/>
      <w:lvlJc w:val="left"/>
      <w:pPr>
        <w:ind w:left="1544" w:hanging="148"/>
      </w:pPr>
      <w:rPr>
        <w:rFonts w:hint="default"/>
      </w:rPr>
    </w:lvl>
    <w:lvl w:ilvl="3">
      <w:start w:val="0"/>
      <w:numFmt w:val="bullet"/>
      <w:lvlText w:val="•"/>
      <w:lvlJc w:val="left"/>
      <w:pPr>
        <w:ind w:left="2256" w:hanging="148"/>
      </w:pPr>
      <w:rPr>
        <w:rFonts w:hint="default"/>
      </w:rPr>
    </w:lvl>
    <w:lvl w:ilvl="4">
      <w:start w:val="0"/>
      <w:numFmt w:val="bullet"/>
      <w:lvlText w:val="•"/>
      <w:lvlJc w:val="left"/>
      <w:pPr>
        <w:ind w:left="2969" w:hanging="148"/>
      </w:pPr>
      <w:rPr>
        <w:rFonts w:hint="default"/>
      </w:rPr>
    </w:lvl>
    <w:lvl w:ilvl="5">
      <w:start w:val="0"/>
      <w:numFmt w:val="bullet"/>
      <w:lvlText w:val="•"/>
      <w:lvlJc w:val="left"/>
      <w:pPr>
        <w:ind w:left="3681" w:hanging="148"/>
      </w:pPr>
      <w:rPr>
        <w:rFonts w:hint="default"/>
      </w:rPr>
    </w:lvl>
    <w:lvl w:ilvl="6">
      <w:start w:val="0"/>
      <w:numFmt w:val="bullet"/>
      <w:lvlText w:val="•"/>
      <w:lvlJc w:val="left"/>
      <w:pPr>
        <w:ind w:left="4393" w:hanging="148"/>
      </w:pPr>
      <w:rPr>
        <w:rFonts w:hint="default"/>
      </w:rPr>
    </w:lvl>
    <w:lvl w:ilvl="7">
      <w:start w:val="0"/>
      <w:numFmt w:val="bullet"/>
      <w:lvlText w:val="•"/>
      <w:lvlJc w:val="left"/>
      <w:pPr>
        <w:ind w:left="5106" w:hanging="148"/>
      </w:pPr>
      <w:rPr>
        <w:rFonts w:hint="default"/>
      </w:rPr>
    </w:lvl>
    <w:lvl w:ilvl="8">
      <w:start w:val="0"/>
      <w:numFmt w:val="bullet"/>
      <w:lvlText w:val="•"/>
      <w:lvlJc w:val="left"/>
      <w:pPr>
        <w:ind w:left="5818" w:hanging="148"/>
      </w:pPr>
      <w:rPr>
        <w:rFonts w:hint="default"/>
      </w:rPr>
    </w:lvl>
  </w:abstractNum>
  <w:abstractNum w:abstractNumId="27">
    <w:multiLevelType w:val="hybridMultilevel"/>
    <w:lvl w:ilvl="0">
      <w:start w:val="0"/>
      <w:numFmt w:val="bullet"/>
      <w:lvlText w:val="•"/>
      <w:lvlJc w:val="left"/>
      <w:pPr>
        <w:ind w:left="470" w:hanging="360"/>
      </w:pPr>
      <w:rPr>
        <w:rFonts w:hint="default" w:ascii="Courier New" w:hAnsi="Courier New" w:eastAsia="Courier New" w:cs="Courier New"/>
        <w:w w:val="99"/>
        <w:sz w:val="24"/>
        <w:szCs w:val="24"/>
      </w:rPr>
    </w:lvl>
    <w:lvl w:ilvl="1">
      <w:start w:val="0"/>
      <w:numFmt w:val="bullet"/>
      <w:lvlText w:val="•"/>
      <w:lvlJc w:val="left"/>
      <w:pPr>
        <w:ind w:left="1147" w:hanging="360"/>
      </w:pPr>
      <w:rPr>
        <w:rFonts w:hint="default"/>
      </w:rPr>
    </w:lvl>
    <w:lvl w:ilvl="2">
      <w:start w:val="0"/>
      <w:numFmt w:val="bullet"/>
      <w:lvlText w:val="•"/>
      <w:lvlJc w:val="left"/>
      <w:pPr>
        <w:ind w:left="1815" w:hanging="360"/>
      </w:pPr>
      <w:rPr>
        <w:rFonts w:hint="default"/>
      </w:rPr>
    </w:lvl>
    <w:lvl w:ilvl="3">
      <w:start w:val="0"/>
      <w:numFmt w:val="bullet"/>
      <w:lvlText w:val="•"/>
      <w:lvlJc w:val="left"/>
      <w:pPr>
        <w:ind w:left="2482" w:hanging="360"/>
      </w:pPr>
      <w:rPr>
        <w:rFonts w:hint="default"/>
      </w:rPr>
    </w:lvl>
    <w:lvl w:ilvl="4">
      <w:start w:val="0"/>
      <w:numFmt w:val="bullet"/>
      <w:lvlText w:val="•"/>
      <w:lvlJc w:val="left"/>
      <w:pPr>
        <w:ind w:left="3150" w:hanging="360"/>
      </w:pPr>
      <w:rPr>
        <w:rFonts w:hint="default"/>
      </w:rPr>
    </w:lvl>
    <w:lvl w:ilvl="5">
      <w:start w:val="0"/>
      <w:numFmt w:val="bullet"/>
      <w:lvlText w:val="•"/>
      <w:lvlJc w:val="left"/>
      <w:pPr>
        <w:ind w:left="3818" w:hanging="360"/>
      </w:pPr>
      <w:rPr>
        <w:rFonts w:hint="default"/>
      </w:rPr>
    </w:lvl>
    <w:lvl w:ilvl="6">
      <w:start w:val="0"/>
      <w:numFmt w:val="bullet"/>
      <w:lvlText w:val="•"/>
      <w:lvlJc w:val="left"/>
      <w:pPr>
        <w:ind w:left="4485" w:hanging="360"/>
      </w:pPr>
      <w:rPr>
        <w:rFonts w:hint="default"/>
      </w:rPr>
    </w:lvl>
    <w:lvl w:ilvl="7">
      <w:start w:val="0"/>
      <w:numFmt w:val="bullet"/>
      <w:lvlText w:val="•"/>
      <w:lvlJc w:val="left"/>
      <w:pPr>
        <w:ind w:left="5153" w:hanging="360"/>
      </w:pPr>
      <w:rPr>
        <w:rFonts w:hint="default"/>
      </w:rPr>
    </w:lvl>
    <w:lvl w:ilvl="8">
      <w:start w:val="0"/>
      <w:numFmt w:val="bullet"/>
      <w:lvlText w:val="•"/>
      <w:lvlJc w:val="left"/>
      <w:pPr>
        <w:ind w:left="5820" w:hanging="360"/>
      </w:pPr>
      <w:rPr>
        <w:rFonts w:hint="default"/>
      </w:rPr>
    </w:lvl>
  </w:abstractNum>
  <w:abstractNum w:abstractNumId="26">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2205" w:hanging="360"/>
      </w:pPr>
      <w:rPr>
        <w:rFonts w:hint="default"/>
      </w:rPr>
    </w:lvl>
    <w:lvl w:ilvl="2">
      <w:start w:val="0"/>
      <w:numFmt w:val="bullet"/>
      <w:lvlText w:val="•"/>
      <w:lvlJc w:val="left"/>
      <w:pPr>
        <w:ind w:left="3571" w:hanging="360"/>
      </w:pPr>
      <w:rPr>
        <w:rFonts w:hint="default"/>
      </w:rPr>
    </w:lvl>
    <w:lvl w:ilvl="3">
      <w:start w:val="0"/>
      <w:numFmt w:val="bullet"/>
      <w:lvlText w:val="•"/>
      <w:lvlJc w:val="left"/>
      <w:pPr>
        <w:ind w:left="4936" w:hanging="360"/>
      </w:pPr>
      <w:rPr>
        <w:rFonts w:hint="default"/>
      </w:rPr>
    </w:lvl>
    <w:lvl w:ilvl="4">
      <w:start w:val="0"/>
      <w:numFmt w:val="bullet"/>
      <w:lvlText w:val="•"/>
      <w:lvlJc w:val="left"/>
      <w:pPr>
        <w:ind w:left="6302" w:hanging="360"/>
      </w:pPr>
      <w:rPr>
        <w:rFonts w:hint="default"/>
      </w:rPr>
    </w:lvl>
    <w:lvl w:ilvl="5">
      <w:start w:val="0"/>
      <w:numFmt w:val="bullet"/>
      <w:lvlText w:val="•"/>
      <w:lvlJc w:val="left"/>
      <w:pPr>
        <w:ind w:left="7668" w:hanging="360"/>
      </w:pPr>
      <w:rPr>
        <w:rFonts w:hint="default"/>
      </w:rPr>
    </w:lvl>
    <w:lvl w:ilvl="6">
      <w:start w:val="0"/>
      <w:numFmt w:val="bullet"/>
      <w:lvlText w:val="•"/>
      <w:lvlJc w:val="left"/>
      <w:pPr>
        <w:ind w:left="9033" w:hanging="360"/>
      </w:pPr>
      <w:rPr>
        <w:rFonts w:hint="default"/>
      </w:rPr>
    </w:lvl>
    <w:lvl w:ilvl="7">
      <w:start w:val="0"/>
      <w:numFmt w:val="bullet"/>
      <w:lvlText w:val="•"/>
      <w:lvlJc w:val="left"/>
      <w:pPr>
        <w:ind w:left="10399" w:hanging="360"/>
      </w:pPr>
      <w:rPr>
        <w:rFonts w:hint="default"/>
      </w:rPr>
    </w:lvl>
    <w:lvl w:ilvl="8">
      <w:start w:val="0"/>
      <w:numFmt w:val="bullet"/>
      <w:lvlText w:val="•"/>
      <w:lvlJc w:val="left"/>
      <w:pPr>
        <w:ind w:left="11764" w:hanging="360"/>
      </w:pPr>
      <w:rPr>
        <w:rFonts w:hint="default"/>
      </w:rPr>
    </w:lvl>
  </w:abstractNum>
  <w:abstractNum w:abstractNumId="25">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2205" w:hanging="360"/>
      </w:pPr>
      <w:rPr>
        <w:rFonts w:hint="default"/>
      </w:rPr>
    </w:lvl>
    <w:lvl w:ilvl="2">
      <w:start w:val="0"/>
      <w:numFmt w:val="bullet"/>
      <w:lvlText w:val="•"/>
      <w:lvlJc w:val="left"/>
      <w:pPr>
        <w:ind w:left="3571" w:hanging="360"/>
      </w:pPr>
      <w:rPr>
        <w:rFonts w:hint="default"/>
      </w:rPr>
    </w:lvl>
    <w:lvl w:ilvl="3">
      <w:start w:val="0"/>
      <w:numFmt w:val="bullet"/>
      <w:lvlText w:val="•"/>
      <w:lvlJc w:val="left"/>
      <w:pPr>
        <w:ind w:left="4936" w:hanging="360"/>
      </w:pPr>
      <w:rPr>
        <w:rFonts w:hint="default"/>
      </w:rPr>
    </w:lvl>
    <w:lvl w:ilvl="4">
      <w:start w:val="0"/>
      <w:numFmt w:val="bullet"/>
      <w:lvlText w:val="•"/>
      <w:lvlJc w:val="left"/>
      <w:pPr>
        <w:ind w:left="6302" w:hanging="360"/>
      </w:pPr>
      <w:rPr>
        <w:rFonts w:hint="default"/>
      </w:rPr>
    </w:lvl>
    <w:lvl w:ilvl="5">
      <w:start w:val="0"/>
      <w:numFmt w:val="bullet"/>
      <w:lvlText w:val="•"/>
      <w:lvlJc w:val="left"/>
      <w:pPr>
        <w:ind w:left="7668" w:hanging="360"/>
      </w:pPr>
      <w:rPr>
        <w:rFonts w:hint="default"/>
      </w:rPr>
    </w:lvl>
    <w:lvl w:ilvl="6">
      <w:start w:val="0"/>
      <w:numFmt w:val="bullet"/>
      <w:lvlText w:val="•"/>
      <w:lvlJc w:val="left"/>
      <w:pPr>
        <w:ind w:left="9033" w:hanging="360"/>
      </w:pPr>
      <w:rPr>
        <w:rFonts w:hint="default"/>
      </w:rPr>
    </w:lvl>
    <w:lvl w:ilvl="7">
      <w:start w:val="0"/>
      <w:numFmt w:val="bullet"/>
      <w:lvlText w:val="•"/>
      <w:lvlJc w:val="left"/>
      <w:pPr>
        <w:ind w:left="10399" w:hanging="360"/>
      </w:pPr>
      <w:rPr>
        <w:rFonts w:hint="default"/>
      </w:rPr>
    </w:lvl>
    <w:lvl w:ilvl="8">
      <w:start w:val="0"/>
      <w:numFmt w:val="bullet"/>
      <w:lvlText w:val="•"/>
      <w:lvlJc w:val="left"/>
      <w:pPr>
        <w:ind w:left="11764" w:hanging="360"/>
      </w:pPr>
      <w:rPr>
        <w:rFonts w:hint="default"/>
      </w:rPr>
    </w:lvl>
  </w:abstractNum>
  <w:abstractNum w:abstractNumId="24">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1471" w:hanging="360"/>
      </w:pPr>
      <w:rPr>
        <w:rFonts w:hint="default"/>
      </w:rPr>
    </w:lvl>
    <w:lvl w:ilvl="2">
      <w:start w:val="0"/>
      <w:numFmt w:val="bullet"/>
      <w:lvlText w:val="•"/>
      <w:lvlJc w:val="left"/>
      <w:pPr>
        <w:ind w:left="2103" w:hanging="360"/>
      </w:pPr>
      <w:rPr>
        <w:rFonts w:hint="default"/>
      </w:rPr>
    </w:lvl>
    <w:lvl w:ilvl="3">
      <w:start w:val="0"/>
      <w:numFmt w:val="bullet"/>
      <w:lvlText w:val="•"/>
      <w:lvlJc w:val="left"/>
      <w:pPr>
        <w:ind w:left="2734" w:hanging="360"/>
      </w:pPr>
      <w:rPr>
        <w:rFonts w:hint="default"/>
      </w:rPr>
    </w:lvl>
    <w:lvl w:ilvl="4">
      <w:start w:val="0"/>
      <w:numFmt w:val="bullet"/>
      <w:lvlText w:val="•"/>
      <w:lvlJc w:val="left"/>
      <w:pPr>
        <w:ind w:left="3366" w:hanging="360"/>
      </w:pPr>
      <w:rPr>
        <w:rFonts w:hint="default"/>
      </w:rPr>
    </w:lvl>
    <w:lvl w:ilvl="5">
      <w:start w:val="0"/>
      <w:numFmt w:val="bullet"/>
      <w:lvlText w:val="•"/>
      <w:lvlJc w:val="left"/>
      <w:pPr>
        <w:ind w:left="3998" w:hanging="360"/>
      </w:pPr>
      <w:rPr>
        <w:rFonts w:hint="default"/>
      </w:rPr>
    </w:lvl>
    <w:lvl w:ilvl="6">
      <w:start w:val="0"/>
      <w:numFmt w:val="bullet"/>
      <w:lvlText w:val="•"/>
      <w:lvlJc w:val="left"/>
      <w:pPr>
        <w:ind w:left="4629" w:hanging="360"/>
      </w:pPr>
      <w:rPr>
        <w:rFonts w:hint="default"/>
      </w:rPr>
    </w:lvl>
    <w:lvl w:ilvl="7">
      <w:start w:val="0"/>
      <w:numFmt w:val="bullet"/>
      <w:lvlText w:val="•"/>
      <w:lvlJc w:val="left"/>
      <w:pPr>
        <w:ind w:left="5261" w:hanging="360"/>
      </w:pPr>
      <w:rPr>
        <w:rFonts w:hint="default"/>
      </w:rPr>
    </w:lvl>
    <w:lvl w:ilvl="8">
      <w:start w:val="0"/>
      <w:numFmt w:val="bullet"/>
      <w:lvlText w:val="•"/>
      <w:lvlJc w:val="left"/>
      <w:pPr>
        <w:ind w:left="5892" w:hanging="360"/>
      </w:pPr>
      <w:rPr>
        <w:rFonts w:hint="default"/>
      </w:rPr>
    </w:lvl>
  </w:abstractNum>
  <w:abstractNum w:abstractNumId="23">
    <w:multiLevelType w:val="hybridMultilevel"/>
    <w:lvl w:ilvl="0">
      <w:start w:val="0"/>
      <w:numFmt w:val="bullet"/>
      <w:lvlText w:val="•"/>
      <w:lvlJc w:val="left"/>
      <w:pPr>
        <w:ind w:left="110" w:hanging="360"/>
      </w:pPr>
      <w:rPr>
        <w:rFonts w:hint="default" w:ascii="Courier New" w:hAnsi="Courier New" w:eastAsia="Courier New" w:cs="Courier New"/>
        <w:w w:val="99"/>
        <w:sz w:val="24"/>
        <w:szCs w:val="24"/>
      </w:rPr>
    </w:lvl>
    <w:lvl w:ilvl="1">
      <w:start w:val="0"/>
      <w:numFmt w:val="bullet"/>
      <w:lvlText w:val="•"/>
      <w:lvlJc w:val="left"/>
      <w:pPr>
        <w:ind w:left="840" w:hanging="360"/>
      </w:pPr>
      <w:rPr>
        <w:rFonts w:hint="default"/>
      </w:rPr>
    </w:lvl>
    <w:lvl w:ilvl="2">
      <w:start w:val="0"/>
      <w:numFmt w:val="bullet"/>
      <w:lvlText w:val="•"/>
      <w:lvlJc w:val="left"/>
      <w:pPr>
        <w:ind w:left="1561" w:hanging="360"/>
      </w:pPr>
      <w:rPr>
        <w:rFonts w:hint="default"/>
      </w:rPr>
    </w:lvl>
    <w:lvl w:ilvl="3">
      <w:start w:val="0"/>
      <w:numFmt w:val="bullet"/>
      <w:lvlText w:val="•"/>
      <w:lvlJc w:val="left"/>
      <w:pPr>
        <w:ind w:left="2282" w:hanging="360"/>
      </w:pPr>
      <w:rPr>
        <w:rFonts w:hint="default"/>
      </w:rPr>
    </w:lvl>
    <w:lvl w:ilvl="4">
      <w:start w:val="0"/>
      <w:numFmt w:val="bullet"/>
      <w:lvlText w:val="•"/>
      <w:lvlJc w:val="left"/>
      <w:pPr>
        <w:ind w:left="3003" w:hanging="360"/>
      </w:pPr>
      <w:rPr>
        <w:rFonts w:hint="default"/>
      </w:rPr>
    </w:lvl>
    <w:lvl w:ilvl="5">
      <w:start w:val="0"/>
      <w:numFmt w:val="bullet"/>
      <w:lvlText w:val="•"/>
      <w:lvlJc w:val="left"/>
      <w:pPr>
        <w:ind w:left="3724" w:hanging="360"/>
      </w:pPr>
      <w:rPr>
        <w:rFonts w:hint="default"/>
      </w:rPr>
    </w:lvl>
    <w:lvl w:ilvl="6">
      <w:start w:val="0"/>
      <w:numFmt w:val="bullet"/>
      <w:lvlText w:val="•"/>
      <w:lvlJc w:val="left"/>
      <w:pPr>
        <w:ind w:left="4445" w:hanging="360"/>
      </w:pPr>
      <w:rPr>
        <w:rFonts w:hint="default"/>
      </w:rPr>
    </w:lvl>
    <w:lvl w:ilvl="7">
      <w:start w:val="0"/>
      <w:numFmt w:val="bullet"/>
      <w:lvlText w:val="•"/>
      <w:lvlJc w:val="left"/>
      <w:pPr>
        <w:ind w:left="5166" w:hanging="360"/>
      </w:pPr>
      <w:rPr>
        <w:rFonts w:hint="default"/>
      </w:rPr>
    </w:lvl>
    <w:lvl w:ilvl="8">
      <w:start w:val="0"/>
      <w:numFmt w:val="bullet"/>
      <w:lvlText w:val="•"/>
      <w:lvlJc w:val="left"/>
      <w:pPr>
        <w:ind w:left="5887" w:hanging="360"/>
      </w:pPr>
      <w:rPr>
        <w:rFonts w:hint="default"/>
      </w:rPr>
    </w:lvl>
  </w:abstractNum>
  <w:abstractNum w:abstractNumId="22">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1471" w:hanging="360"/>
      </w:pPr>
      <w:rPr>
        <w:rFonts w:hint="default"/>
      </w:rPr>
    </w:lvl>
    <w:lvl w:ilvl="2">
      <w:start w:val="0"/>
      <w:numFmt w:val="bullet"/>
      <w:lvlText w:val="•"/>
      <w:lvlJc w:val="left"/>
      <w:pPr>
        <w:ind w:left="2103" w:hanging="360"/>
      </w:pPr>
      <w:rPr>
        <w:rFonts w:hint="default"/>
      </w:rPr>
    </w:lvl>
    <w:lvl w:ilvl="3">
      <w:start w:val="0"/>
      <w:numFmt w:val="bullet"/>
      <w:lvlText w:val="•"/>
      <w:lvlJc w:val="left"/>
      <w:pPr>
        <w:ind w:left="2734" w:hanging="360"/>
      </w:pPr>
      <w:rPr>
        <w:rFonts w:hint="default"/>
      </w:rPr>
    </w:lvl>
    <w:lvl w:ilvl="4">
      <w:start w:val="0"/>
      <w:numFmt w:val="bullet"/>
      <w:lvlText w:val="•"/>
      <w:lvlJc w:val="left"/>
      <w:pPr>
        <w:ind w:left="3366" w:hanging="360"/>
      </w:pPr>
      <w:rPr>
        <w:rFonts w:hint="default"/>
      </w:rPr>
    </w:lvl>
    <w:lvl w:ilvl="5">
      <w:start w:val="0"/>
      <w:numFmt w:val="bullet"/>
      <w:lvlText w:val="•"/>
      <w:lvlJc w:val="left"/>
      <w:pPr>
        <w:ind w:left="3998" w:hanging="360"/>
      </w:pPr>
      <w:rPr>
        <w:rFonts w:hint="default"/>
      </w:rPr>
    </w:lvl>
    <w:lvl w:ilvl="6">
      <w:start w:val="0"/>
      <w:numFmt w:val="bullet"/>
      <w:lvlText w:val="•"/>
      <w:lvlJc w:val="left"/>
      <w:pPr>
        <w:ind w:left="4629" w:hanging="360"/>
      </w:pPr>
      <w:rPr>
        <w:rFonts w:hint="default"/>
      </w:rPr>
    </w:lvl>
    <w:lvl w:ilvl="7">
      <w:start w:val="0"/>
      <w:numFmt w:val="bullet"/>
      <w:lvlText w:val="•"/>
      <w:lvlJc w:val="left"/>
      <w:pPr>
        <w:ind w:left="5261" w:hanging="360"/>
      </w:pPr>
      <w:rPr>
        <w:rFonts w:hint="default"/>
      </w:rPr>
    </w:lvl>
    <w:lvl w:ilvl="8">
      <w:start w:val="0"/>
      <w:numFmt w:val="bullet"/>
      <w:lvlText w:val="•"/>
      <w:lvlJc w:val="left"/>
      <w:pPr>
        <w:ind w:left="5892" w:hanging="360"/>
      </w:pPr>
      <w:rPr>
        <w:rFonts w:hint="default"/>
      </w:rPr>
    </w:lvl>
  </w:abstractNum>
  <w:abstractNum w:abstractNumId="21">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1488" w:hanging="360"/>
      </w:pPr>
      <w:rPr>
        <w:rFonts w:hint="default"/>
      </w:rPr>
    </w:lvl>
    <w:lvl w:ilvl="2">
      <w:start w:val="0"/>
      <w:numFmt w:val="bullet"/>
      <w:lvlText w:val="•"/>
      <w:lvlJc w:val="left"/>
      <w:pPr>
        <w:ind w:left="2137" w:hanging="360"/>
      </w:pPr>
      <w:rPr>
        <w:rFonts w:hint="default"/>
      </w:rPr>
    </w:lvl>
    <w:lvl w:ilvl="3">
      <w:start w:val="0"/>
      <w:numFmt w:val="bullet"/>
      <w:lvlText w:val="•"/>
      <w:lvlJc w:val="left"/>
      <w:pPr>
        <w:ind w:left="2786" w:hanging="360"/>
      </w:pPr>
      <w:rPr>
        <w:rFonts w:hint="default"/>
      </w:rPr>
    </w:lvl>
    <w:lvl w:ilvl="4">
      <w:start w:val="0"/>
      <w:numFmt w:val="bullet"/>
      <w:lvlText w:val="•"/>
      <w:lvlJc w:val="left"/>
      <w:pPr>
        <w:ind w:left="3435" w:hanging="360"/>
      </w:pPr>
      <w:rPr>
        <w:rFonts w:hint="default"/>
      </w:rPr>
    </w:lvl>
    <w:lvl w:ilvl="5">
      <w:start w:val="0"/>
      <w:numFmt w:val="bullet"/>
      <w:lvlText w:val="•"/>
      <w:lvlJc w:val="left"/>
      <w:pPr>
        <w:ind w:left="4084" w:hanging="360"/>
      </w:pPr>
      <w:rPr>
        <w:rFonts w:hint="default"/>
      </w:rPr>
    </w:lvl>
    <w:lvl w:ilvl="6">
      <w:start w:val="0"/>
      <w:numFmt w:val="bullet"/>
      <w:lvlText w:val="•"/>
      <w:lvlJc w:val="left"/>
      <w:pPr>
        <w:ind w:left="4733" w:hanging="360"/>
      </w:pPr>
      <w:rPr>
        <w:rFonts w:hint="default"/>
      </w:rPr>
    </w:lvl>
    <w:lvl w:ilvl="7">
      <w:start w:val="0"/>
      <w:numFmt w:val="bullet"/>
      <w:lvlText w:val="•"/>
      <w:lvlJc w:val="left"/>
      <w:pPr>
        <w:ind w:left="5382" w:hanging="360"/>
      </w:pPr>
      <w:rPr>
        <w:rFonts w:hint="default"/>
      </w:rPr>
    </w:lvl>
    <w:lvl w:ilvl="8">
      <w:start w:val="0"/>
      <w:numFmt w:val="bullet"/>
      <w:lvlText w:val="•"/>
      <w:lvlJc w:val="left"/>
      <w:pPr>
        <w:ind w:left="6031" w:hanging="360"/>
      </w:pPr>
      <w:rPr>
        <w:rFonts w:hint="default"/>
      </w:rPr>
    </w:lvl>
  </w:abstractNum>
  <w:abstractNum w:abstractNumId="20">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2205" w:hanging="360"/>
      </w:pPr>
      <w:rPr>
        <w:rFonts w:hint="default"/>
      </w:rPr>
    </w:lvl>
    <w:lvl w:ilvl="2">
      <w:start w:val="0"/>
      <w:numFmt w:val="bullet"/>
      <w:lvlText w:val="•"/>
      <w:lvlJc w:val="left"/>
      <w:pPr>
        <w:ind w:left="3571" w:hanging="360"/>
      </w:pPr>
      <w:rPr>
        <w:rFonts w:hint="default"/>
      </w:rPr>
    </w:lvl>
    <w:lvl w:ilvl="3">
      <w:start w:val="0"/>
      <w:numFmt w:val="bullet"/>
      <w:lvlText w:val="•"/>
      <w:lvlJc w:val="left"/>
      <w:pPr>
        <w:ind w:left="4936" w:hanging="360"/>
      </w:pPr>
      <w:rPr>
        <w:rFonts w:hint="default"/>
      </w:rPr>
    </w:lvl>
    <w:lvl w:ilvl="4">
      <w:start w:val="0"/>
      <w:numFmt w:val="bullet"/>
      <w:lvlText w:val="•"/>
      <w:lvlJc w:val="left"/>
      <w:pPr>
        <w:ind w:left="6302" w:hanging="360"/>
      </w:pPr>
      <w:rPr>
        <w:rFonts w:hint="default"/>
      </w:rPr>
    </w:lvl>
    <w:lvl w:ilvl="5">
      <w:start w:val="0"/>
      <w:numFmt w:val="bullet"/>
      <w:lvlText w:val="•"/>
      <w:lvlJc w:val="left"/>
      <w:pPr>
        <w:ind w:left="7667" w:hanging="360"/>
      </w:pPr>
      <w:rPr>
        <w:rFonts w:hint="default"/>
      </w:rPr>
    </w:lvl>
    <w:lvl w:ilvl="6">
      <w:start w:val="0"/>
      <w:numFmt w:val="bullet"/>
      <w:lvlText w:val="•"/>
      <w:lvlJc w:val="left"/>
      <w:pPr>
        <w:ind w:left="9033" w:hanging="360"/>
      </w:pPr>
      <w:rPr>
        <w:rFonts w:hint="default"/>
      </w:rPr>
    </w:lvl>
    <w:lvl w:ilvl="7">
      <w:start w:val="0"/>
      <w:numFmt w:val="bullet"/>
      <w:lvlText w:val="•"/>
      <w:lvlJc w:val="left"/>
      <w:pPr>
        <w:ind w:left="10398" w:hanging="360"/>
      </w:pPr>
      <w:rPr>
        <w:rFonts w:hint="default"/>
      </w:rPr>
    </w:lvl>
    <w:lvl w:ilvl="8">
      <w:start w:val="0"/>
      <w:numFmt w:val="bullet"/>
      <w:lvlText w:val="•"/>
      <w:lvlJc w:val="left"/>
      <w:pPr>
        <w:ind w:left="11764" w:hanging="360"/>
      </w:pPr>
      <w:rPr>
        <w:rFonts w:hint="default"/>
      </w:rPr>
    </w:lvl>
  </w:abstractNum>
  <w:abstractNum w:abstractNumId="19">
    <w:multiLevelType w:val="hybridMultilevel"/>
    <w:lvl w:ilvl="0">
      <w:start w:val="0"/>
      <w:numFmt w:val="bullet"/>
      <w:lvlText w:val="•"/>
      <w:lvlJc w:val="left"/>
      <w:pPr>
        <w:ind w:left="827" w:hanging="360"/>
      </w:pPr>
      <w:rPr>
        <w:rFonts w:hint="default" w:ascii="Courier New" w:hAnsi="Courier New" w:eastAsia="Courier New" w:cs="Courier New"/>
        <w:w w:val="99"/>
        <w:sz w:val="24"/>
        <w:szCs w:val="24"/>
      </w:rPr>
    </w:lvl>
    <w:lvl w:ilvl="1">
      <w:start w:val="0"/>
      <w:numFmt w:val="bullet"/>
      <w:lvlText w:val="•"/>
      <w:lvlJc w:val="left"/>
      <w:pPr>
        <w:ind w:left="2190" w:hanging="360"/>
      </w:pPr>
      <w:rPr>
        <w:rFonts w:hint="default"/>
      </w:rPr>
    </w:lvl>
    <w:lvl w:ilvl="2">
      <w:start w:val="0"/>
      <w:numFmt w:val="bullet"/>
      <w:lvlText w:val="•"/>
      <w:lvlJc w:val="left"/>
      <w:pPr>
        <w:ind w:left="3561"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6302" w:hanging="360"/>
      </w:pPr>
      <w:rPr>
        <w:rFonts w:hint="default"/>
      </w:rPr>
    </w:lvl>
    <w:lvl w:ilvl="5">
      <w:start w:val="0"/>
      <w:numFmt w:val="bullet"/>
      <w:lvlText w:val="•"/>
      <w:lvlJc w:val="left"/>
      <w:pPr>
        <w:ind w:left="7673" w:hanging="360"/>
      </w:pPr>
      <w:rPr>
        <w:rFonts w:hint="default"/>
      </w:rPr>
    </w:lvl>
    <w:lvl w:ilvl="6">
      <w:start w:val="0"/>
      <w:numFmt w:val="bullet"/>
      <w:lvlText w:val="•"/>
      <w:lvlJc w:val="left"/>
      <w:pPr>
        <w:ind w:left="9044" w:hanging="360"/>
      </w:pPr>
      <w:rPr>
        <w:rFonts w:hint="default"/>
      </w:rPr>
    </w:lvl>
    <w:lvl w:ilvl="7">
      <w:start w:val="0"/>
      <w:numFmt w:val="bullet"/>
      <w:lvlText w:val="•"/>
      <w:lvlJc w:val="left"/>
      <w:pPr>
        <w:ind w:left="10414" w:hanging="360"/>
      </w:pPr>
      <w:rPr>
        <w:rFonts w:hint="default"/>
      </w:rPr>
    </w:lvl>
    <w:lvl w:ilvl="8">
      <w:start w:val="0"/>
      <w:numFmt w:val="bullet"/>
      <w:lvlText w:val="•"/>
      <w:lvlJc w:val="left"/>
      <w:pPr>
        <w:ind w:left="11785" w:hanging="360"/>
      </w:pPr>
      <w:rPr>
        <w:rFonts w:hint="default"/>
      </w:rPr>
    </w:lvl>
  </w:abstractNum>
  <w:abstractNum w:abstractNumId="18">
    <w:multiLevelType w:val="hybridMultilevel"/>
    <w:lvl w:ilvl="0">
      <w:start w:val="0"/>
      <w:numFmt w:val="bullet"/>
      <w:lvlText w:val="•"/>
      <w:lvlJc w:val="left"/>
      <w:pPr>
        <w:ind w:left="827" w:hanging="360"/>
      </w:pPr>
      <w:rPr>
        <w:rFonts w:hint="default" w:ascii="Courier New" w:hAnsi="Courier New" w:eastAsia="Courier New" w:cs="Courier New"/>
        <w:w w:val="99"/>
        <w:sz w:val="24"/>
        <w:szCs w:val="24"/>
      </w:rPr>
    </w:lvl>
    <w:lvl w:ilvl="1">
      <w:start w:val="0"/>
      <w:numFmt w:val="bullet"/>
      <w:lvlText w:val="•"/>
      <w:lvlJc w:val="left"/>
      <w:pPr>
        <w:ind w:left="2190" w:hanging="360"/>
      </w:pPr>
      <w:rPr>
        <w:rFonts w:hint="default"/>
      </w:rPr>
    </w:lvl>
    <w:lvl w:ilvl="2">
      <w:start w:val="0"/>
      <w:numFmt w:val="bullet"/>
      <w:lvlText w:val="•"/>
      <w:lvlJc w:val="left"/>
      <w:pPr>
        <w:ind w:left="3561"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6302" w:hanging="360"/>
      </w:pPr>
      <w:rPr>
        <w:rFonts w:hint="default"/>
      </w:rPr>
    </w:lvl>
    <w:lvl w:ilvl="5">
      <w:start w:val="0"/>
      <w:numFmt w:val="bullet"/>
      <w:lvlText w:val="•"/>
      <w:lvlJc w:val="left"/>
      <w:pPr>
        <w:ind w:left="7673" w:hanging="360"/>
      </w:pPr>
      <w:rPr>
        <w:rFonts w:hint="default"/>
      </w:rPr>
    </w:lvl>
    <w:lvl w:ilvl="6">
      <w:start w:val="0"/>
      <w:numFmt w:val="bullet"/>
      <w:lvlText w:val="•"/>
      <w:lvlJc w:val="left"/>
      <w:pPr>
        <w:ind w:left="9044" w:hanging="360"/>
      </w:pPr>
      <w:rPr>
        <w:rFonts w:hint="default"/>
      </w:rPr>
    </w:lvl>
    <w:lvl w:ilvl="7">
      <w:start w:val="0"/>
      <w:numFmt w:val="bullet"/>
      <w:lvlText w:val="•"/>
      <w:lvlJc w:val="left"/>
      <w:pPr>
        <w:ind w:left="10414" w:hanging="360"/>
      </w:pPr>
      <w:rPr>
        <w:rFonts w:hint="default"/>
      </w:rPr>
    </w:lvl>
    <w:lvl w:ilvl="8">
      <w:start w:val="0"/>
      <w:numFmt w:val="bullet"/>
      <w:lvlText w:val="•"/>
      <w:lvlJc w:val="left"/>
      <w:pPr>
        <w:ind w:left="11785" w:hanging="360"/>
      </w:pPr>
      <w:rPr>
        <w:rFonts w:hint="default"/>
      </w:rPr>
    </w:lvl>
  </w:abstractNum>
  <w:abstractNum w:abstractNumId="17">
    <w:multiLevelType w:val="hybridMultilevel"/>
    <w:lvl w:ilvl="0">
      <w:start w:val="0"/>
      <w:numFmt w:val="bullet"/>
      <w:lvlText w:val="•"/>
      <w:lvlJc w:val="left"/>
      <w:pPr>
        <w:ind w:left="827" w:hanging="360"/>
      </w:pPr>
      <w:rPr>
        <w:rFonts w:hint="default" w:ascii="Courier New" w:hAnsi="Courier New" w:eastAsia="Courier New" w:cs="Courier New"/>
        <w:w w:val="99"/>
        <w:sz w:val="24"/>
        <w:szCs w:val="24"/>
      </w:rPr>
    </w:lvl>
    <w:lvl w:ilvl="1">
      <w:start w:val="0"/>
      <w:numFmt w:val="bullet"/>
      <w:lvlText w:val="•"/>
      <w:lvlJc w:val="left"/>
      <w:pPr>
        <w:ind w:left="2190" w:hanging="360"/>
      </w:pPr>
      <w:rPr>
        <w:rFonts w:hint="default"/>
      </w:rPr>
    </w:lvl>
    <w:lvl w:ilvl="2">
      <w:start w:val="0"/>
      <w:numFmt w:val="bullet"/>
      <w:lvlText w:val="•"/>
      <w:lvlJc w:val="left"/>
      <w:pPr>
        <w:ind w:left="3561" w:hanging="360"/>
      </w:pPr>
      <w:rPr>
        <w:rFonts w:hint="default"/>
      </w:rPr>
    </w:lvl>
    <w:lvl w:ilvl="3">
      <w:start w:val="0"/>
      <w:numFmt w:val="bullet"/>
      <w:lvlText w:val="•"/>
      <w:lvlJc w:val="left"/>
      <w:pPr>
        <w:ind w:left="4931" w:hanging="360"/>
      </w:pPr>
      <w:rPr>
        <w:rFonts w:hint="default"/>
      </w:rPr>
    </w:lvl>
    <w:lvl w:ilvl="4">
      <w:start w:val="0"/>
      <w:numFmt w:val="bullet"/>
      <w:lvlText w:val="•"/>
      <w:lvlJc w:val="left"/>
      <w:pPr>
        <w:ind w:left="6302" w:hanging="360"/>
      </w:pPr>
      <w:rPr>
        <w:rFonts w:hint="default"/>
      </w:rPr>
    </w:lvl>
    <w:lvl w:ilvl="5">
      <w:start w:val="0"/>
      <w:numFmt w:val="bullet"/>
      <w:lvlText w:val="•"/>
      <w:lvlJc w:val="left"/>
      <w:pPr>
        <w:ind w:left="7673" w:hanging="360"/>
      </w:pPr>
      <w:rPr>
        <w:rFonts w:hint="default"/>
      </w:rPr>
    </w:lvl>
    <w:lvl w:ilvl="6">
      <w:start w:val="0"/>
      <w:numFmt w:val="bullet"/>
      <w:lvlText w:val="•"/>
      <w:lvlJc w:val="left"/>
      <w:pPr>
        <w:ind w:left="9043" w:hanging="360"/>
      </w:pPr>
      <w:rPr>
        <w:rFonts w:hint="default"/>
      </w:rPr>
    </w:lvl>
    <w:lvl w:ilvl="7">
      <w:start w:val="0"/>
      <w:numFmt w:val="bullet"/>
      <w:lvlText w:val="•"/>
      <w:lvlJc w:val="left"/>
      <w:pPr>
        <w:ind w:left="10414" w:hanging="360"/>
      </w:pPr>
      <w:rPr>
        <w:rFonts w:hint="default"/>
      </w:rPr>
    </w:lvl>
    <w:lvl w:ilvl="8">
      <w:start w:val="0"/>
      <w:numFmt w:val="bullet"/>
      <w:lvlText w:val="•"/>
      <w:lvlJc w:val="left"/>
      <w:pPr>
        <w:ind w:left="11784" w:hanging="360"/>
      </w:pPr>
      <w:rPr>
        <w:rFonts w:hint="default"/>
      </w:rPr>
    </w:lvl>
  </w:abstractNum>
  <w:abstractNum w:abstractNumId="16">
    <w:multiLevelType w:val="hybridMultilevel"/>
    <w:lvl w:ilvl="0">
      <w:start w:val="0"/>
      <w:numFmt w:val="bullet"/>
      <w:lvlText w:val="•"/>
      <w:lvlJc w:val="left"/>
      <w:pPr>
        <w:ind w:left="827" w:hanging="360"/>
      </w:pPr>
      <w:rPr>
        <w:rFonts w:hint="default" w:ascii="Courier New" w:hAnsi="Courier New" w:eastAsia="Courier New" w:cs="Courier New"/>
        <w:w w:val="99"/>
        <w:sz w:val="24"/>
        <w:szCs w:val="24"/>
      </w:rPr>
    </w:lvl>
    <w:lvl w:ilvl="1">
      <w:start w:val="0"/>
      <w:numFmt w:val="bullet"/>
      <w:lvlText w:val="•"/>
      <w:lvlJc w:val="left"/>
      <w:pPr>
        <w:ind w:left="2194" w:hanging="360"/>
      </w:pPr>
      <w:rPr>
        <w:rFonts w:hint="default"/>
      </w:rPr>
    </w:lvl>
    <w:lvl w:ilvl="2">
      <w:start w:val="0"/>
      <w:numFmt w:val="bullet"/>
      <w:lvlText w:val="•"/>
      <w:lvlJc w:val="left"/>
      <w:pPr>
        <w:ind w:left="3569" w:hanging="360"/>
      </w:pPr>
      <w:rPr>
        <w:rFonts w:hint="default"/>
      </w:rPr>
    </w:lvl>
    <w:lvl w:ilvl="3">
      <w:start w:val="0"/>
      <w:numFmt w:val="bullet"/>
      <w:lvlText w:val="•"/>
      <w:lvlJc w:val="left"/>
      <w:pPr>
        <w:ind w:left="4943" w:hanging="360"/>
      </w:pPr>
      <w:rPr>
        <w:rFonts w:hint="default"/>
      </w:rPr>
    </w:lvl>
    <w:lvl w:ilvl="4">
      <w:start w:val="0"/>
      <w:numFmt w:val="bullet"/>
      <w:lvlText w:val="•"/>
      <w:lvlJc w:val="left"/>
      <w:pPr>
        <w:ind w:left="6318" w:hanging="360"/>
      </w:pPr>
      <w:rPr>
        <w:rFonts w:hint="default"/>
      </w:rPr>
    </w:lvl>
    <w:lvl w:ilvl="5">
      <w:start w:val="0"/>
      <w:numFmt w:val="bullet"/>
      <w:lvlText w:val="•"/>
      <w:lvlJc w:val="left"/>
      <w:pPr>
        <w:ind w:left="7692" w:hanging="360"/>
      </w:pPr>
      <w:rPr>
        <w:rFonts w:hint="default"/>
      </w:rPr>
    </w:lvl>
    <w:lvl w:ilvl="6">
      <w:start w:val="0"/>
      <w:numFmt w:val="bullet"/>
      <w:lvlText w:val="•"/>
      <w:lvlJc w:val="left"/>
      <w:pPr>
        <w:ind w:left="9067" w:hanging="360"/>
      </w:pPr>
      <w:rPr>
        <w:rFonts w:hint="default"/>
      </w:rPr>
    </w:lvl>
    <w:lvl w:ilvl="7">
      <w:start w:val="0"/>
      <w:numFmt w:val="bullet"/>
      <w:lvlText w:val="•"/>
      <w:lvlJc w:val="left"/>
      <w:pPr>
        <w:ind w:left="10441" w:hanging="360"/>
      </w:pPr>
      <w:rPr>
        <w:rFonts w:hint="default"/>
      </w:rPr>
    </w:lvl>
    <w:lvl w:ilvl="8">
      <w:start w:val="0"/>
      <w:numFmt w:val="bullet"/>
      <w:lvlText w:val="•"/>
      <w:lvlJc w:val="left"/>
      <w:pPr>
        <w:ind w:left="11816" w:hanging="360"/>
      </w:pPr>
      <w:rPr>
        <w:rFonts w:hint="default"/>
      </w:rPr>
    </w:lvl>
  </w:abstractNum>
  <w:abstractNum w:abstractNumId="15">
    <w:multiLevelType w:val="hybridMultilevel"/>
    <w:lvl w:ilvl="0">
      <w:start w:val="0"/>
      <w:numFmt w:val="bullet"/>
      <w:lvlText w:val="•"/>
      <w:lvlJc w:val="left"/>
      <w:pPr>
        <w:ind w:left="827" w:hanging="360"/>
      </w:pPr>
      <w:rPr>
        <w:rFonts w:hint="default" w:ascii="Courier New" w:hAnsi="Courier New" w:eastAsia="Courier New" w:cs="Courier New"/>
        <w:w w:val="99"/>
        <w:sz w:val="24"/>
        <w:szCs w:val="24"/>
      </w:rPr>
    </w:lvl>
    <w:lvl w:ilvl="1">
      <w:start w:val="0"/>
      <w:numFmt w:val="bullet"/>
      <w:lvlText w:val="•"/>
      <w:lvlJc w:val="left"/>
      <w:pPr>
        <w:ind w:left="2194" w:hanging="360"/>
      </w:pPr>
      <w:rPr>
        <w:rFonts w:hint="default"/>
      </w:rPr>
    </w:lvl>
    <w:lvl w:ilvl="2">
      <w:start w:val="0"/>
      <w:numFmt w:val="bullet"/>
      <w:lvlText w:val="•"/>
      <w:lvlJc w:val="left"/>
      <w:pPr>
        <w:ind w:left="3569" w:hanging="360"/>
      </w:pPr>
      <w:rPr>
        <w:rFonts w:hint="default"/>
      </w:rPr>
    </w:lvl>
    <w:lvl w:ilvl="3">
      <w:start w:val="0"/>
      <w:numFmt w:val="bullet"/>
      <w:lvlText w:val="•"/>
      <w:lvlJc w:val="left"/>
      <w:pPr>
        <w:ind w:left="4943" w:hanging="360"/>
      </w:pPr>
      <w:rPr>
        <w:rFonts w:hint="default"/>
      </w:rPr>
    </w:lvl>
    <w:lvl w:ilvl="4">
      <w:start w:val="0"/>
      <w:numFmt w:val="bullet"/>
      <w:lvlText w:val="•"/>
      <w:lvlJc w:val="left"/>
      <w:pPr>
        <w:ind w:left="6318" w:hanging="360"/>
      </w:pPr>
      <w:rPr>
        <w:rFonts w:hint="default"/>
      </w:rPr>
    </w:lvl>
    <w:lvl w:ilvl="5">
      <w:start w:val="0"/>
      <w:numFmt w:val="bullet"/>
      <w:lvlText w:val="•"/>
      <w:lvlJc w:val="left"/>
      <w:pPr>
        <w:ind w:left="7692" w:hanging="360"/>
      </w:pPr>
      <w:rPr>
        <w:rFonts w:hint="default"/>
      </w:rPr>
    </w:lvl>
    <w:lvl w:ilvl="6">
      <w:start w:val="0"/>
      <w:numFmt w:val="bullet"/>
      <w:lvlText w:val="•"/>
      <w:lvlJc w:val="left"/>
      <w:pPr>
        <w:ind w:left="9067" w:hanging="360"/>
      </w:pPr>
      <w:rPr>
        <w:rFonts w:hint="default"/>
      </w:rPr>
    </w:lvl>
    <w:lvl w:ilvl="7">
      <w:start w:val="0"/>
      <w:numFmt w:val="bullet"/>
      <w:lvlText w:val="•"/>
      <w:lvlJc w:val="left"/>
      <w:pPr>
        <w:ind w:left="10441" w:hanging="360"/>
      </w:pPr>
      <w:rPr>
        <w:rFonts w:hint="default"/>
      </w:rPr>
    </w:lvl>
    <w:lvl w:ilvl="8">
      <w:start w:val="0"/>
      <w:numFmt w:val="bullet"/>
      <w:lvlText w:val="•"/>
      <w:lvlJc w:val="left"/>
      <w:pPr>
        <w:ind w:left="11816" w:hanging="360"/>
      </w:pPr>
      <w:rPr>
        <w:rFonts w:hint="default"/>
      </w:rPr>
    </w:lvl>
  </w:abstractNum>
  <w:abstractNum w:abstractNumId="14">
    <w:multiLevelType w:val="hybridMultilevel"/>
    <w:lvl w:ilvl="0">
      <w:start w:val="0"/>
      <w:numFmt w:val="bullet"/>
      <w:lvlText w:val="•"/>
      <w:lvlJc w:val="left"/>
      <w:pPr>
        <w:ind w:left="1337" w:hanging="360"/>
      </w:pPr>
      <w:rPr>
        <w:rFonts w:hint="default" w:ascii="Courier New" w:hAnsi="Courier New" w:eastAsia="Courier New" w:cs="Courier New"/>
        <w:w w:val="99"/>
        <w:sz w:val="20"/>
        <w:szCs w:val="20"/>
      </w:rPr>
    </w:lvl>
    <w:lvl w:ilvl="1">
      <w:start w:val="0"/>
      <w:numFmt w:val="bullet"/>
      <w:lvlText w:val="•"/>
      <w:lvlJc w:val="left"/>
      <w:pPr>
        <w:ind w:left="1959" w:hanging="360"/>
      </w:pPr>
      <w:rPr>
        <w:rFonts w:hint="default"/>
      </w:rPr>
    </w:lvl>
    <w:lvl w:ilvl="2">
      <w:start w:val="0"/>
      <w:numFmt w:val="bullet"/>
      <w:lvlText w:val="•"/>
      <w:lvlJc w:val="left"/>
      <w:pPr>
        <w:ind w:left="2578" w:hanging="360"/>
      </w:pPr>
      <w:rPr>
        <w:rFonts w:hint="default"/>
      </w:rPr>
    </w:lvl>
    <w:lvl w:ilvl="3">
      <w:start w:val="0"/>
      <w:numFmt w:val="bullet"/>
      <w:lvlText w:val="•"/>
      <w:lvlJc w:val="left"/>
      <w:pPr>
        <w:ind w:left="3197" w:hanging="360"/>
      </w:pPr>
      <w:rPr>
        <w:rFonts w:hint="default"/>
      </w:rPr>
    </w:lvl>
    <w:lvl w:ilvl="4">
      <w:start w:val="0"/>
      <w:numFmt w:val="bullet"/>
      <w:lvlText w:val="•"/>
      <w:lvlJc w:val="left"/>
      <w:pPr>
        <w:ind w:left="3816" w:hanging="360"/>
      </w:pPr>
      <w:rPr>
        <w:rFonts w:hint="default"/>
      </w:rPr>
    </w:lvl>
    <w:lvl w:ilvl="5">
      <w:start w:val="0"/>
      <w:numFmt w:val="bullet"/>
      <w:lvlText w:val="•"/>
      <w:lvlJc w:val="left"/>
      <w:pPr>
        <w:ind w:left="4436" w:hanging="360"/>
      </w:pPr>
      <w:rPr>
        <w:rFonts w:hint="default"/>
      </w:rPr>
    </w:lvl>
    <w:lvl w:ilvl="6">
      <w:start w:val="0"/>
      <w:numFmt w:val="bullet"/>
      <w:lvlText w:val="•"/>
      <w:lvlJc w:val="left"/>
      <w:pPr>
        <w:ind w:left="5055" w:hanging="360"/>
      </w:pPr>
      <w:rPr>
        <w:rFonts w:hint="default"/>
      </w:rPr>
    </w:lvl>
    <w:lvl w:ilvl="7">
      <w:start w:val="0"/>
      <w:numFmt w:val="bullet"/>
      <w:lvlText w:val="•"/>
      <w:lvlJc w:val="left"/>
      <w:pPr>
        <w:ind w:left="5674" w:hanging="360"/>
      </w:pPr>
      <w:rPr>
        <w:rFonts w:hint="default"/>
      </w:rPr>
    </w:lvl>
    <w:lvl w:ilvl="8">
      <w:start w:val="0"/>
      <w:numFmt w:val="bullet"/>
      <w:lvlText w:val="•"/>
      <w:lvlJc w:val="left"/>
      <w:pPr>
        <w:ind w:left="6293" w:hanging="360"/>
      </w:pPr>
      <w:rPr>
        <w:rFonts w:hint="default"/>
      </w:rPr>
    </w:lvl>
  </w:abstractNum>
  <w:abstractNum w:abstractNumId="13">
    <w:multiLevelType w:val="hybridMultilevel"/>
    <w:lvl w:ilvl="0">
      <w:start w:val="0"/>
      <w:numFmt w:val="bullet"/>
      <w:lvlText w:val="•"/>
      <w:lvlJc w:val="left"/>
      <w:pPr>
        <w:ind w:left="1337" w:hanging="360"/>
      </w:pPr>
      <w:rPr>
        <w:rFonts w:hint="default" w:ascii="Courier New" w:hAnsi="Courier New" w:eastAsia="Courier New" w:cs="Courier New"/>
        <w:w w:val="99"/>
        <w:sz w:val="20"/>
        <w:szCs w:val="20"/>
      </w:rPr>
    </w:lvl>
    <w:lvl w:ilvl="1">
      <w:start w:val="0"/>
      <w:numFmt w:val="bullet"/>
      <w:lvlText w:val="•"/>
      <w:lvlJc w:val="left"/>
      <w:pPr>
        <w:ind w:left="1959" w:hanging="360"/>
      </w:pPr>
      <w:rPr>
        <w:rFonts w:hint="default"/>
      </w:rPr>
    </w:lvl>
    <w:lvl w:ilvl="2">
      <w:start w:val="0"/>
      <w:numFmt w:val="bullet"/>
      <w:lvlText w:val="•"/>
      <w:lvlJc w:val="left"/>
      <w:pPr>
        <w:ind w:left="2578" w:hanging="360"/>
      </w:pPr>
      <w:rPr>
        <w:rFonts w:hint="default"/>
      </w:rPr>
    </w:lvl>
    <w:lvl w:ilvl="3">
      <w:start w:val="0"/>
      <w:numFmt w:val="bullet"/>
      <w:lvlText w:val="•"/>
      <w:lvlJc w:val="left"/>
      <w:pPr>
        <w:ind w:left="3197" w:hanging="360"/>
      </w:pPr>
      <w:rPr>
        <w:rFonts w:hint="default"/>
      </w:rPr>
    </w:lvl>
    <w:lvl w:ilvl="4">
      <w:start w:val="0"/>
      <w:numFmt w:val="bullet"/>
      <w:lvlText w:val="•"/>
      <w:lvlJc w:val="left"/>
      <w:pPr>
        <w:ind w:left="3816" w:hanging="360"/>
      </w:pPr>
      <w:rPr>
        <w:rFonts w:hint="default"/>
      </w:rPr>
    </w:lvl>
    <w:lvl w:ilvl="5">
      <w:start w:val="0"/>
      <w:numFmt w:val="bullet"/>
      <w:lvlText w:val="•"/>
      <w:lvlJc w:val="left"/>
      <w:pPr>
        <w:ind w:left="4436" w:hanging="360"/>
      </w:pPr>
      <w:rPr>
        <w:rFonts w:hint="default"/>
      </w:rPr>
    </w:lvl>
    <w:lvl w:ilvl="6">
      <w:start w:val="0"/>
      <w:numFmt w:val="bullet"/>
      <w:lvlText w:val="•"/>
      <w:lvlJc w:val="left"/>
      <w:pPr>
        <w:ind w:left="5055" w:hanging="360"/>
      </w:pPr>
      <w:rPr>
        <w:rFonts w:hint="default"/>
      </w:rPr>
    </w:lvl>
    <w:lvl w:ilvl="7">
      <w:start w:val="0"/>
      <w:numFmt w:val="bullet"/>
      <w:lvlText w:val="•"/>
      <w:lvlJc w:val="left"/>
      <w:pPr>
        <w:ind w:left="5674" w:hanging="360"/>
      </w:pPr>
      <w:rPr>
        <w:rFonts w:hint="default"/>
      </w:rPr>
    </w:lvl>
    <w:lvl w:ilvl="8">
      <w:start w:val="0"/>
      <w:numFmt w:val="bullet"/>
      <w:lvlText w:val="•"/>
      <w:lvlJc w:val="left"/>
      <w:pPr>
        <w:ind w:left="6293" w:hanging="360"/>
      </w:pPr>
      <w:rPr>
        <w:rFonts w:hint="default"/>
      </w:rPr>
    </w:lvl>
  </w:abstractNum>
  <w:abstractNum w:abstractNumId="12">
    <w:multiLevelType w:val="hybridMultilevel"/>
    <w:lvl w:ilvl="0">
      <w:start w:val="0"/>
      <w:numFmt w:val="bullet"/>
      <w:lvlText w:val="•"/>
      <w:lvlJc w:val="left"/>
      <w:pPr>
        <w:ind w:left="1337" w:hanging="360"/>
      </w:pPr>
      <w:rPr>
        <w:rFonts w:hint="default" w:ascii="Courier New" w:hAnsi="Courier New" w:eastAsia="Courier New" w:cs="Courier New"/>
        <w:w w:val="99"/>
        <w:sz w:val="20"/>
        <w:szCs w:val="20"/>
      </w:rPr>
    </w:lvl>
    <w:lvl w:ilvl="1">
      <w:start w:val="0"/>
      <w:numFmt w:val="bullet"/>
      <w:lvlText w:val="•"/>
      <w:lvlJc w:val="left"/>
      <w:pPr>
        <w:ind w:left="1959" w:hanging="360"/>
      </w:pPr>
      <w:rPr>
        <w:rFonts w:hint="default"/>
      </w:rPr>
    </w:lvl>
    <w:lvl w:ilvl="2">
      <w:start w:val="0"/>
      <w:numFmt w:val="bullet"/>
      <w:lvlText w:val="•"/>
      <w:lvlJc w:val="left"/>
      <w:pPr>
        <w:ind w:left="2578" w:hanging="360"/>
      </w:pPr>
      <w:rPr>
        <w:rFonts w:hint="default"/>
      </w:rPr>
    </w:lvl>
    <w:lvl w:ilvl="3">
      <w:start w:val="0"/>
      <w:numFmt w:val="bullet"/>
      <w:lvlText w:val="•"/>
      <w:lvlJc w:val="left"/>
      <w:pPr>
        <w:ind w:left="3197" w:hanging="360"/>
      </w:pPr>
      <w:rPr>
        <w:rFonts w:hint="default"/>
      </w:rPr>
    </w:lvl>
    <w:lvl w:ilvl="4">
      <w:start w:val="0"/>
      <w:numFmt w:val="bullet"/>
      <w:lvlText w:val="•"/>
      <w:lvlJc w:val="left"/>
      <w:pPr>
        <w:ind w:left="3816" w:hanging="360"/>
      </w:pPr>
      <w:rPr>
        <w:rFonts w:hint="default"/>
      </w:rPr>
    </w:lvl>
    <w:lvl w:ilvl="5">
      <w:start w:val="0"/>
      <w:numFmt w:val="bullet"/>
      <w:lvlText w:val="•"/>
      <w:lvlJc w:val="left"/>
      <w:pPr>
        <w:ind w:left="4436" w:hanging="360"/>
      </w:pPr>
      <w:rPr>
        <w:rFonts w:hint="default"/>
      </w:rPr>
    </w:lvl>
    <w:lvl w:ilvl="6">
      <w:start w:val="0"/>
      <w:numFmt w:val="bullet"/>
      <w:lvlText w:val="•"/>
      <w:lvlJc w:val="left"/>
      <w:pPr>
        <w:ind w:left="5055" w:hanging="360"/>
      </w:pPr>
      <w:rPr>
        <w:rFonts w:hint="default"/>
      </w:rPr>
    </w:lvl>
    <w:lvl w:ilvl="7">
      <w:start w:val="0"/>
      <w:numFmt w:val="bullet"/>
      <w:lvlText w:val="•"/>
      <w:lvlJc w:val="left"/>
      <w:pPr>
        <w:ind w:left="5674" w:hanging="360"/>
      </w:pPr>
      <w:rPr>
        <w:rFonts w:hint="default"/>
      </w:rPr>
    </w:lvl>
    <w:lvl w:ilvl="8">
      <w:start w:val="0"/>
      <w:numFmt w:val="bullet"/>
      <w:lvlText w:val="•"/>
      <w:lvlJc w:val="left"/>
      <w:pPr>
        <w:ind w:left="6293" w:hanging="360"/>
      </w:pPr>
      <w:rPr>
        <w:rFonts w:hint="default"/>
      </w:rPr>
    </w:lvl>
  </w:abstractNum>
  <w:abstractNum w:abstractNumId="11">
    <w:multiLevelType w:val="hybridMultilevel"/>
    <w:lvl w:ilvl="0">
      <w:start w:val="0"/>
      <w:numFmt w:val="bullet"/>
      <w:lvlText w:val="•"/>
      <w:lvlJc w:val="left"/>
      <w:pPr>
        <w:ind w:left="827" w:hanging="360"/>
      </w:pPr>
      <w:rPr>
        <w:rFonts w:hint="default" w:ascii="Courier New" w:hAnsi="Courier New" w:eastAsia="Courier New" w:cs="Courier New"/>
        <w:w w:val="99"/>
        <w:sz w:val="20"/>
        <w:szCs w:val="20"/>
      </w:rPr>
    </w:lvl>
    <w:lvl w:ilvl="1">
      <w:start w:val="0"/>
      <w:numFmt w:val="bullet"/>
      <w:lvlText w:val="•"/>
      <w:lvlJc w:val="left"/>
      <w:pPr>
        <w:ind w:left="1401" w:hanging="360"/>
      </w:pPr>
      <w:rPr>
        <w:rFonts w:hint="default"/>
      </w:rPr>
    </w:lvl>
    <w:lvl w:ilvl="2">
      <w:start w:val="0"/>
      <w:numFmt w:val="bullet"/>
      <w:lvlText w:val="•"/>
      <w:lvlJc w:val="left"/>
      <w:pPr>
        <w:ind w:left="1983" w:hanging="360"/>
      </w:pPr>
      <w:rPr>
        <w:rFonts w:hint="default"/>
      </w:rPr>
    </w:lvl>
    <w:lvl w:ilvl="3">
      <w:start w:val="0"/>
      <w:numFmt w:val="bullet"/>
      <w:lvlText w:val="•"/>
      <w:lvlJc w:val="left"/>
      <w:pPr>
        <w:ind w:left="2564" w:hanging="360"/>
      </w:pPr>
      <w:rPr>
        <w:rFonts w:hint="default"/>
      </w:rPr>
    </w:lvl>
    <w:lvl w:ilvl="4">
      <w:start w:val="0"/>
      <w:numFmt w:val="bullet"/>
      <w:lvlText w:val="•"/>
      <w:lvlJc w:val="left"/>
      <w:pPr>
        <w:ind w:left="3146" w:hanging="360"/>
      </w:pPr>
      <w:rPr>
        <w:rFonts w:hint="default"/>
      </w:rPr>
    </w:lvl>
    <w:lvl w:ilvl="5">
      <w:start w:val="0"/>
      <w:numFmt w:val="bullet"/>
      <w:lvlText w:val="•"/>
      <w:lvlJc w:val="left"/>
      <w:pPr>
        <w:ind w:left="3727" w:hanging="360"/>
      </w:pPr>
      <w:rPr>
        <w:rFonts w:hint="default"/>
      </w:rPr>
    </w:lvl>
    <w:lvl w:ilvl="6">
      <w:start w:val="0"/>
      <w:numFmt w:val="bullet"/>
      <w:lvlText w:val="•"/>
      <w:lvlJc w:val="left"/>
      <w:pPr>
        <w:ind w:left="4309" w:hanging="360"/>
      </w:pPr>
      <w:rPr>
        <w:rFonts w:hint="default"/>
      </w:rPr>
    </w:lvl>
    <w:lvl w:ilvl="7">
      <w:start w:val="0"/>
      <w:numFmt w:val="bullet"/>
      <w:lvlText w:val="•"/>
      <w:lvlJc w:val="left"/>
      <w:pPr>
        <w:ind w:left="4890" w:hanging="360"/>
      </w:pPr>
      <w:rPr>
        <w:rFonts w:hint="default"/>
      </w:rPr>
    </w:lvl>
    <w:lvl w:ilvl="8">
      <w:start w:val="0"/>
      <w:numFmt w:val="bullet"/>
      <w:lvlText w:val="•"/>
      <w:lvlJc w:val="left"/>
      <w:pPr>
        <w:ind w:left="5472" w:hanging="360"/>
      </w:pPr>
      <w:rPr>
        <w:rFonts w:hint="default"/>
      </w:rPr>
    </w:lvl>
  </w:abstractNum>
  <w:abstractNum w:abstractNumId="10">
    <w:multiLevelType w:val="hybridMultilevel"/>
    <w:lvl w:ilvl="0">
      <w:start w:val="0"/>
      <w:numFmt w:val="bullet"/>
      <w:lvlText w:val="•"/>
      <w:lvlJc w:val="left"/>
      <w:pPr>
        <w:ind w:left="827" w:hanging="360"/>
      </w:pPr>
      <w:rPr>
        <w:rFonts w:hint="default" w:ascii="Courier New" w:hAnsi="Courier New" w:eastAsia="Courier New" w:cs="Courier New"/>
        <w:w w:val="99"/>
        <w:sz w:val="20"/>
        <w:szCs w:val="20"/>
      </w:rPr>
    </w:lvl>
    <w:lvl w:ilvl="1">
      <w:start w:val="0"/>
      <w:numFmt w:val="bullet"/>
      <w:lvlText w:val="•"/>
      <w:lvlJc w:val="left"/>
      <w:pPr>
        <w:ind w:left="1401" w:hanging="360"/>
      </w:pPr>
      <w:rPr>
        <w:rFonts w:hint="default"/>
      </w:rPr>
    </w:lvl>
    <w:lvl w:ilvl="2">
      <w:start w:val="0"/>
      <w:numFmt w:val="bullet"/>
      <w:lvlText w:val="•"/>
      <w:lvlJc w:val="left"/>
      <w:pPr>
        <w:ind w:left="1983" w:hanging="360"/>
      </w:pPr>
      <w:rPr>
        <w:rFonts w:hint="default"/>
      </w:rPr>
    </w:lvl>
    <w:lvl w:ilvl="3">
      <w:start w:val="0"/>
      <w:numFmt w:val="bullet"/>
      <w:lvlText w:val="•"/>
      <w:lvlJc w:val="left"/>
      <w:pPr>
        <w:ind w:left="2564" w:hanging="360"/>
      </w:pPr>
      <w:rPr>
        <w:rFonts w:hint="default"/>
      </w:rPr>
    </w:lvl>
    <w:lvl w:ilvl="4">
      <w:start w:val="0"/>
      <w:numFmt w:val="bullet"/>
      <w:lvlText w:val="•"/>
      <w:lvlJc w:val="left"/>
      <w:pPr>
        <w:ind w:left="3146" w:hanging="360"/>
      </w:pPr>
      <w:rPr>
        <w:rFonts w:hint="default"/>
      </w:rPr>
    </w:lvl>
    <w:lvl w:ilvl="5">
      <w:start w:val="0"/>
      <w:numFmt w:val="bullet"/>
      <w:lvlText w:val="•"/>
      <w:lvlJc w:val="left"/>
      <w:pPr>
        <w:ind w:left="3727" w:hanging="360"/>
      </w:pPr>
      <w:rPr>
        <w:rFonts w:hint="default"/>
      </w:rPr>
    </w:lvl>
    <w:lvl w:ilvl="6">
      <w:start w:val="0"/>
      <w:numFmt w:val="bullet"/>
      <w:lvlText w:val="•"/>
      <w:lvlJc w:val="left"/>
      <w:pPr>
        <w:ind w:left="4309" w:hanging="360"/>
      </w:pPr>
      <w:rPr>
        <w:rFonts w:hint="default"/>
      </w:rPr>
    </w:lvl>
    <w:lvl w:ilvl="7">
      <w:start w:val="0"/>
      <w:numFmt w:val="bullet"/>
      <w:lvlText w:val="•"/>
      <w:lvlJc w:val="left"/>
      <w:pPr>
        <w:ind w:left="4890" w:hanging="360"/>
      </w:pPr>
      <w:rPr>
        <w:rFonts w:hint="default"/>
      </w:rPr>
    </w:lvl>
    <w:lvl w:ilvl="8">
      <w:start w:val="0"/>
      <w:numFmt w:val="bullet"/>
      <w:lvlText w:val="•"/>
      <w:lvlJc w:val="left"/>
      <w:pPr>
        <w:ind w:left="5472" w:hanging="360"/>
      </w:pPr>
      <w:rPr>
        <w:rFonts w:hint="default"/>
      </w:rPr>
    </w:lvl>
  </w:abstractNum>
  <w:abstractNum w:abstractNumId="9">
    <w:multiLevelType w:val="hybridMultilevel"/>
    <w:lvl w:ilvl="0">
      <w:start w:val="0"/>
      <w:numFmt w:val="bullet"/>
      <w:lvlText w:val="•"/>
      <w:lvlJc w:val="left"/>
      <w:pPr>
        <w:ind w:left="1337" w:hanging="360"/>
      </w:pPr>
      <w:rPr>
        <w:rFonts w:hint="default" w:ascii="Courier New" w:hAnsi="Courier New" w:eastAsia="Courier New" w:cs="Courier New"/>
        <w:w w:val="99"/>
        <w:sz w:val="20"/>
        <w:szCs w:val="20"/>
      </w:rPr>
    </w:lvl>
    <w:lvl w:ilvl="1">
      <w:start w:val="0"/>
      <w:numFmt w:val="bullet"/>
      <w:lvlText w:val="•"/>
      <w:lvlJc w:val="left"/>
      <w:pPr>
        <w:ind w:left="1959" w:hanging="360"/>
      </w:pPr>
      <w:rPr>
        <w:rFonts w:hint="default"/>
      </w:rPr>
    </w:lvl>
    <w:lvl w:ilvl="2">
      <w:start w:val="0"/>
      <w:numFmt w:val="bullet"/>
      <w:lvlText w:val="•"/>
      <w:lvlJc w:val="left"/>
      <w:pPr>
        <w:ind w:left="2578" w:hanging="360"/>
      </w:pPr>
      <w:rPr>
        <w:rFonts w:hint="default"/>
      </w:rPr>
    </w:lvl>
    <w:lvl w:ilvl="3">
      <w:start w:val="0"/>
      <w:numFmt w:val="bullet"/>
      <w:lvlText w:val="•"/>
      <w:lvlJc w:val="left"/>
      <w:pPr>
        <w:ind w:left="3197" w:hanging="360"/>
      </w:pPr>
      <w:rPr>
        <w:rFonts w:hint="default"/>
      </w:rPr>
    </w:lvl>
    <w:lvl w:ilvl="4">
      <w:start w:val="0"/>
      <w:numFmt w:val="bullet"/>
      <w:lvlText w:val="•"/>
      <w:lvlJc w:val="left"/>
      <w:pPr>
        <w:ind w:left="3816" w:hanging="360"/>
      </w:pPr>
      <w:rPr>
        <w:rFonts w:hint="default"/>
      </w:rPr>
    </w:lvl>
    <w:lvl w:ilvl="5">
      <w:start w:val="0"/>
      <w:numFmt w:val="bullet"/>
      <w:lvlText w:val="•"/>
      <w:lvlJc w:val="left"/>
      <w:pPr>
        <w:ind w:left="4436" w:hanging="360"/>
      </w:pPr>
      <w:rPr>
        <w:rFonts w:hint="default"/>
      </w:rPr>
    </w:lvl>
    <w:lvl w:ilvl="6">
      <w:start w:val="0"/>
      <w:numFmt w:val="bullet"/>
      <w:lvlText w:val="•"/>
      <w:lvlJc w:val="left"/>
      <w:pPr>
        <w:ind w:left="5055" w:hanging="360"/>
      </w:pPr>
      <w:rPr>
        <w:rFonts w:hint="default"/>
      </w:rPr>
    </w:lvl>
    <w:lvl w:ilvl="7">
      <w:start w:val="0"/>
      <w:numFmt w:val="bullet"/>
      <w:lvlText w:val="•"/>
      <w:lvlJc w:val="left"/>
      <w:pPr>
        <w:ind w:left="5674" w:hanging="360"/>
      </w:pPr>
      <w:rPr>
        <w:rFonts w:hint="default"/>
      </w:rPr>
    </w:lvl>
    <w:lvl w:ilvl="8">
      <w:start w:val="0"/>
      <w:numFmt w:val="bullet"/>
      <w:lvlText w:val="•"/>
      <w:lvlJc w:val="left"/>
      <w:pPr>
        <w:ind w:left="6293" w:hanging="360"/>
      </w:pPr>
      <w:rPr>
        <w:rFonts w:hint="default"/>
      </w:rPr>
    </w:lvl>
  </w:abstractNum>
  <w:abstractNum w:abstractNumId="8">
    <w:multiLevelType w:val="hybridMultilevel"/>
    <w:lvl w:ilvl="0">
      <w:start w:val="0"/>
      <w:numFmt w:val="bullet"/>
      <w:lvlText w:val="•"/>
      <w:lvlJc w:val="left"/>
      <w:pPr>
        <w:ind w:left="827" w:hanging="360"/>
      </w:pPr>
      <w:rPr>
        <w:rFonts w:hint="default" w:ascii="Courier New" w:hAnsi="Courier New" w:eastAsia="Courier New" w:cs="Courier New"/>
        <w:w w:val="99"/>
        <w:sz w:val="20"/>
        <w:szCs w:val="20"/>
      </w:rPr>
    </w:lvl>
    <w:lvl w:ilvl="1">
      <w:start w:val="0"/>
      <w:numFmt w:val="bullet"/>
      <w:lvlText w:val="•"/>
      <w:lvlJc w:val="left"/>
      <w:pPr>
        <w:ind w:left="1401" w:hanging="360"/>
      </w:pPr>
      <w:rPr>
        <w:rFonts w:hint="default"/>
      </w:rPr>
    </w:lvl>
    <w:lvl w:ilvl="2">
      <w:start w:val="0"/>
      <w:numFmt w:val="bullet"/>
      <w:lvlText w:val="•"/>
      <w:lvlJc w:val="left"/>
      <w:pPr>
        <w:ind w:left="1983" w:hanging="360"/>
      </w:pPr>
      <w:rPr>
        <w:rFonts w:hint="default"/>
      </w:rPr>
    </w:lvl>
    <w:lvl w:ilvl="3">
      <w:start w:val="0"/>
      <w:numFmt w:val="bullet"/>
      <w:lvlText w:val="•"/>
      <w:lvlJc w:val="left"/>
      <w:pPr>
        <w:ind w:left="2564" w:hanging="360"/>
      </w:pPr>
      <w:rPr>
        <w:rFonts w:hint="default"/>
      </w:rPr>
    </w:lvl>
    <w:lvl w:ilvl="4">
      <w:start w:val="0"/>
      <w:numFmt w:val="bullet"/>
      <w:lvlText w:val="•"/>
      <w:lvlJc w:val="left"/>
      <w:pPr>
        <w:ind w:left="3146" w:hanging="360"/>
      </w:pPr>
      <w:rPr>
        <w:rFonts w:hint="default"/>
      </w:rPr>
    </w:lvl>
    <w:lvl w:ilvl="5">
      <w:start w:val="0"/>
      <w:numFmt w:val="bullet"/>
      <w:lvlText w:val="•"/>
      <w:lvlJc w:val="left"/>
      <w:pPr>
        <w:ind w:left="3727" w:hanging="360"/>
      </w:pPr>
      <w:rPr>
        <w:rFonts w:hint="default"/>
      </w:rPr>
    </w:lvl>
    <w:lvl w:ilvl="6">
      <w:start w:val="0"/>
      <w:numFmt w:val="bullet"/>
      <w:lvlText w:val="•"/>
      <w:lvlJc w:val="left"/>
      <w:pPr>
        <w:ind w:left="4309" w:hanging="360"/>
      </w:pPr>
      <w:rPr>
        <w:rFonts w:hint="default"/>
      </w:rPr>
    </w:lvl>
    <w:lvl w:ilvl="7">
      <w:start w:val="0"/>
      <w:numFmt w:val="bullet"/>
      <w:lvlText w:val="•"/>
      <w:lvlJc w:val="left"/>
      <w:pPr>
        <w:ind w:left="4890" w:hanging="360"/>
      </w:pPr>
      <w:rPr>
        <w:rFonts w:hint="default"/>
      </w:rPr>
    </w:lvl>
    <w:lvl w:ilvl="8">
      <w:start w:val="0"/>
      <w:numFmt w:val="bullet"/>
      <w:lvlText w:val="•"/>
      <w:lvlJc w:val="left"/>
      <w:pPr>
        <w:ind w:left="5472" w:hanging="360"/>
      </w:pPr>
      <w:rPr>
        <w:rFonts w:hint="default"/>
      </w:rPr>
    </w:lvl>
  </w:abstractNum>
  <w:abstractNum w:abstractNumId="7">
    <w:multiLevelType w:val="hybridMultilevel"/>
    <w:lvl w:ilvl="0">
      <w:start w:val="0"/>
      <w:numFmt w:val="bullet"/>
      <w:lvlText w:val="•"/>
      <w:lvlJc w:val="left"/>
      <w:pPr>
        <w:ind w:left="1337" w:hanging="360"/>
      </w:pPr>
      <w:rPr>
        <w:rFonts w:hint="default" w:ascii="Courier New" w:hAnsi="Courier New" w:eastAsia="Courier New" w:cs="Courier New"/>
        <w:w w:val="99"/>
        <w:sz w:val="20"/>
        <w:szCs w:val="20"/>
      </w:rPr>
    </w:lvl>
    <w:lvl w:ilvl="1">
      <w:start w:val="0"/>
      <w:numFmt w:val="bullet"/>
      <w:lvlText w:val="•"/>
      <w:lvlJc w:val="left"/>
      <w:pPr>
        <w:ind w:left="1959" w:hanging="360"/>
      </w:pPr>
      <w:rPr>
        <w:rFonts w:hint="default"/>
      </w:rPr>
    </w:lvl>
    <w:lvl w:ilvl="2">
      <w:start w:val="0"/>
      <w:numFmt w:val="bullet"/>
      <w:lvlText w:val="•"/>
      <w:lvlJc w:val="left"/>
      <w:pPr>
        <w:ind w:left="2578" w:hanging="360"/>
      </w:pPr>
      <w:rPr>
        <w:rFonts w:hint="default"/>
      </w:rPr>
    </w:lvl>
    <w:lvl w:ilvl="3">
      <w:start w:val="0"/>
      <w:numFmt w:val="bullet"/>
      <w:lvlText w:val="•"/>
      <w:lvlJc w:val="left"/>
      <w:pPr>
        <w:ind w:left="3197" w:hanging="360"/>
      </w:pPr>
      <w:rPr>
        <w:rFonts w:hint="default"/>
      </w:rPr>
    </w:lvl>
    <w:lvl w:ilvl="4">
      <w:start w:val="0"/>
      <w:numFmt w:val="bullet"/>
      <w:lvlText w:val="•"/>
      <w:lvlJc w:val="left"/>
      <w:pPr>
        <w:ind w:left="3816" w:hanging="360"/>
      </w:pPr>
      <w:rPr>
        <w:rFonts w:hint="default"/>
      </w:rPr>
    </w:lvl>
    <w:lvl w:ilvl="5">
      <w:start w:val="0"/>
      <w:numFmt w:val="bullet"/>
      <w:lvlText w:val="•"/>
      <w:lvlJc w:val="left"/>
      <w:pPr>
        <w:ind w:left="4436" w:hanging="360"/>
      </w:pPr>
      <w:rPr>
        <w:rFonts w:hint="default"/>
      </w:rPr>
    </w:lvl>
    <w:lvl w:ilvl="6">
      <w:start w:val="0"/>
      <w:numFmt w:val="bullet"/>
      <w:lvlText w:val="•"/>
      <w:lvlJc w:val="left"/>
      <w:pPr>
        <w:ind w:left="5055" w:hanging="360"/>
      </w:pPr>
      <w:rPr>
        <w:rFonts w:hint="default"/>
      </w:rPr>
    </w:lvl>
    <w:lvl w:ilvl="7">
      <w:start w:val="0"/>
      <w:numFmt w:val="bullet"/>
      <w:lvlText w:val="•"/>
      <w:lvlJc w:val="left"/>
      <w:pPr>
        <w:ind w:left="5674" w:hanging="360"/>
      </w:pPr>
      <w:rPr>
        <w:rFonts w:hint="default"/>
      </w:rPr>
    </w:lvl>
    <w:lvl w:ilvl="8">
      <w:start w:val="0"/>
      <w:numFmt w:val="bullet"/>
      <w:lvlText w:val="•"/>
      <w:lvlJc w:val="left"/>
      <w:pPr>
        <w:ind w:left="6293" w:hanging="360"/>
      </w:pPr>
      <w:rPr>
        <w:rFonts w:hint="default"/>
      </w:rPr>
    </w:lvl>
  </w:abstractNum>
  <w:abstractNum w:abstractNumId="6">
    <w:multiLevelType w:val="hybridMultilevel"/>
    <w:lvl w:ilvl="0">
      <w:start w:val="0"/>
      <w:numFmt w:val="bullet"/>
      <w:lvlText w:val="•"/>
      <w:lvlJc w:val="left"/>
      <w:pPr>
        <w:ind w:left="827" w:hanging="360"/>
      </w:pPr>
      <w:rPr>
        <w:rFonts w:hint="default" w:ascii="Courier New" w:hAnsi="Courier New" w:eastAsia="Courier New" w:cs="Courier New"/>
        <w:w w:val="99"/>
        <w:sz w:val="20"/>
        <w:szCs w:val="20"/>
      </w:rPr>
    </w:lvl>
    <w:lvl w:ilvl="1">
      <w:start w:val="0"/>
      <w:numFmt w:val="bullet"/>
      <w:lvlText w:val="•"/>
      <w:lvlJc w:val="left"/>
      <w:pPr>
        <w:ind w:left="1401" w:hanging="360"/>
      </w:pPr>
      <w:rPr>
        <w:rFonts w:hint="default"/>
      </w:rPr>
    </w:lvl>
    <w:lvl w:ilvl="2">
      <w:start w:val="0"/>
      <w:numFmt w:val="bullet"/>
      <w:lvlText w:val="•"/>
      <w:lvlJc w:val="left"/>
      <w:pPr>
        <w:ind w:left="1983" w:hanging="360"/>
      </w:pPr>
      <w:rPr>
        <w:rFonts w:hint="default"/>
      </w:rPr>
    </w:lvl>
    <w:lvl w:ilvl="3">
      <w:start w:val="0"/>
      <w:numFmt w:val="bullet"/>
      <w:lvlText w:val="•"/>
      <w:lvlJc w:val="left"/>
      <w:pPr>
        <w:ind w:left="2564" w:hanging="360"/>
      </w:pPr>
      <w:rPr>
        <w:rFonts w:hint="default"/>
      </w:rPr>
    </w:lvl>
    <w:lvl w:ilvl="4">
      <w:start w:val="0"/>
      <w:numFmt w:val="bullet"/>
      <w:lvlText w:val="•"/>
      <w:lvlJc w:val="left"/>
      <w:pPr>
        <w:ind w:left="3146" w:hanging="360"/>
      </w:pPr>
      <w:rPr>
        <w:rFonts w:hint="default"/>
      </w:rPr>
    </w:lvl>
    <w:lvl w:ilvl="5">
      <w:start w:val="0"/>
      <w:numFmt w:val="bullet"/>
      <w:lvlText w:val="•"/>
      <w:lvlJc w:val="left"/>
      <w:pPr>
        <w:ind w:left="3727" w:hanging="360"/>
      </w:pPr>
      <w:rPr>
        <w:rFonts w:hint="default"/>
      </w:rPr>
    </w:lvl>
    <w:lvl w:ilvl="6">
      <w:start w:val="0"/>
      <w:numFmt w:val="bullet"/>
      <w:lvlText w:val="•"/>
      <w:lvlJc w:val="left"/>
      <w:pPr>
        <w:ind w:left="4309" w:hanging="360"/>
      </w:pPr>
      <w:rPr>
        <w:rFonts w:hint="default"/>
      </w:rPr>
    </w:lvl>
    <w:lvl w:ilvl="7">
      <w:start w:val="0"/>
      <w:numFmt w:val="bullet"/>
      <w:lvlText w:val="•"/>
      <w:lvlJc w:val="left"/>
      <w:pPr>
        <w:ind w:left="4890" w:hanging="360"/>
      </w:pPr>
      <w:rPr>
        <w:rFonts w:hint="default"/>
      </w:rPr>
    </w:lvl>
    <w:lvl w:ilvl="8">
      <w:start w:val="0"/>
      <w:numFmt w:val="bullet"/>
      <w:lvlText w:val="•"/>
      <w:lvlJc w:val="left"/>
      <w:pPr>
        <w:ind w:left="5472" w:hanging="360"/>
      </w:pPr>
      <w:rPr>
        <w:rFonts w:hint="default"/>
      </w:rPr>
    </w:lvl>
  </w:abstractNum>
  <w:abstractNum w:abstractNumId="5">
    <w:multiLevelType w:val="hybridMultilevel"/>
    <w:lvl w:ilvl="0">
      <w:start w:val="0"/>
      <w:numFmt w:val="bullet"/>
      <w:lvlText w:val="•"/>
      <w:lvlJc w:val="left"/>
      <w:pPr>
        <w:ind w:left="1337" w:hanging="360"/>
      </w:pPr>
      <w:rPr>
        <w:rFonts w:hint="default" w:ascii="Courier New" w:hAnsi="Courier New" w:eastAsia="Courier New" w:cs="Courier New"/>
        <w:w w:val="99"/>
        <w:sz w:val="20"/>
        <w:szCs w:val="20"/>
      </w:rPr>
    </w:lvl>
    <w:lvl w:ilvl="1">
      <w:start w:val="0"/>
      <w:numFmt w:val="bullet"/>
      <w:lvlText w:val="•"/>
      <w:lvlJc w:val="left"/>
      <w:pPr>
        <w:ind w:left="1959" w:hanging="360"/>
      </w:pPr>
      <w:rPr>
        <w:rFonts w:hint="default"/>
      </w:rPr>
    </w:lvl>
    <w:lvl w:ilvl="2">
      <w:start w:val="0"/>
      <w:numFmt w:val="bullet"/>
      <w:lvlText w:val="•"/>
      <w:lvlJc w:val="left"/>
      <w:pPr>
        <w:ind w:left="2578" w:hanging="360"/>
      </w:pPr>
      <w:rPr>
        <w:rFonts w:hint="default"/>
      </w:rPr>
    </w:lvl>
    <w:lvl w:ilvl="3">
      <w:start w:val="0"/>
      <w:numFmt w:val="bullet"/>
      <w:lvlText w:val="•"/>
      <w:lvlJc w:val="left"/>
      <w:pPr>
        <w:ind w:left="3197" w:hanging="360"/>
      </w:pPr>
      <w:rPr>
        <w:rFonts w:hint="default"/>
      </w:rPr>
    </w:lvl>
    <w:lvl w:ilvl="4">
      <w:start w:val="0"/>
      <w:numFmt w:val="bullet"/>
      <w:lvlText w:val="•"/>
      <w:lvlJc w:val="left"/>
      <w:pPr>
        <w:ind w:left="3816" w:hanging="360"/>
      </w:pPr>
      <w:rPr>
        <w:rFonts w:hint="default"/>
      </w:rPr>
    </w:lvl>
    <w:lvl w:ilvl="5">
      <w:start w:val="0"/>
      <w:numFmt w:val="bullet"/>
      <w:lvlText w:val="•"/>
      <w:lvlJc w:val="left"/>
      <w:pPr>
        <w:ind w:left="4436" w:hanging="360"/>
      </w:pPr>
      <w:rPr>
        <w:rFonts w:hint="default"/>
      </w:rPr>
    </w:lvl>
    <w:lvl w:ilvl="6">
      <w:start w:val="0"/>
      <w:numFmt w:val="bullet"/>
      <w:lvlText w:val="•"/>
      <w:lvlJc w:val="left"/>
      <w:pPr>
        <w:ind w:left="5055" w:hanging="360"/>
      </w:pPr>
      <w:rPr>
        <w:rFonts w:hint="default"/>
      </w:rPr>
    </w:lvl>
    <w:lvl w:ilvl="7">
      <w:start w:val="0"/>
      <w:numFmt w:val="bullet"/>
      <w:lvlText w:val="•"/>
      <w:lvlJc w:val="left"/>
      <w:pPr>
        <w:ind w:left="5674" w:hanging="360"/>
      </w:pPr>
      <w:rPr>
        <w:rFonts w:hint="default"/>
      </w:rPr>
    </w:lvl>
    <w:lvl w:ilvl="8">
      <w:start w:val="0"/>
      <w:numFmt w:val="bullet"/>
      <w:lvlText w:val="•"/>
      <w:lvlJc w:val="left"/>
      <w:pPr>
        <w:ind w:left="6293" w:hanging="360"/>
      </w:pPr>
      <w:rPr>
        <w:rFonts w:hint="default"/>
      </w:rPr>
    </w:lvl>
  </w:abstractNum>
  <w:abstractNum w:abstractNumId="4">
    <w:multiLevelType w:val="hybridMultilevel"/>
    <w:lvl w:ilvl="0">
      <w:start w:val="0"/>
      <w:numFmt w:val="bullet"/>
      <w:lvlText w:val="•"/>
      <w:lvlJc w:val="left"/>
      <w:pPr>
        <w:ind w:left="827" w:hanging="360"/>
      </w:pPr>
      <w:rPr>
        <w:rFonts w:hint="default" w:ascii="Courier New" w:hAnsi="Courier New" w:eastAsia="Courier New" w:cs="Courier New"/>
        <w:w w:val="99"/>
        <w:sz w:val="20"/>
        <w:szCs w:val="20"/>
      </w:rPr>
    </w:lvl>
    <w:lvl w:ilvl="1">
      <w:start w:val="0"/>
      <w:numFmt w:val="bullet"/>
      <w:lvlText w:val="•"/>
      <w:lvlJc w:val="left"/>
      <w:pPr>
        <w:ind w:left="1401" w:hanging="360"/>
      </w:pPr>
      <w:rPr>
        <w:rFonts w:hint="default"/>
      </w:rPr>
    </w:lvl>
    <w:lvl w:ilvl="2">
      <w:start w:val="0"/>
      <w:numFmt w:val="bullet"/>
      <w:lvlText w:val="•"/>
      <w:lvlJc w:val="left"/>
      <w:pPr>
        <w:ind w:left="1983" w:hanging="360"/>
      </w:pPr>
      <w:rPr>
        <w:rFonts w:hint="default"/>
      </w:rPr>
    </w:lvl>
    <w:lvl w:ilvl="3">
      <w:start w:val="0"/>
      <w:numFmt w:val="bullet"/>
      <w:lvlText w:val="•"/>
      <w:lvlJc w:val="left"/>
      <w:pPr>
        <w:ind w:left="2564" w:hanging="360"/>
      </w:pPr>
      <w:rPr>
        <w:rFonts w:hint="default"/>
      </w:rPr>
    </w:lvl>
    <w:lvl w:ilvl="4">
      <w:start w:val="0"/>
      <w:numFmt w:val="bullet"/>
      <w:lvlText w:val="•"/>
      <w:lvlJc w:val="left"/>
      <w:pPr>
        <w:ind w:left="3146" w:hanging="360"/>
      </w:pPr>
      <w:rPr>
        <w:rFonts w:hint="default"/>
      </w:rPr>
    </w:lvl>
    <w:lvl w:ilvl="5">
      <w:start w:val="0"/>
      <w:numFmt w:val="bullet"/>
      <w:lvlText w:val="•"/>
      <w:lvlJc w:val="left"/>
      <w:pPr>
        <w:ind w:left="3727" w:hanging="360"/>
      </w:pPr>
      <w:rPr>
        <w:rFonts w:hint="default"/>
      </w:rPr>
    </w:lvl>
    <w:lvl w:ilvl="6">
      <w:start w:val="0"/>
      <w:numFmt w:val="bullet"/>
      <w:lvlText w:val="•"/>
      <w:lvlJc w:val="left"/>
      <w:pPr>
        <w:ind w:left="4309" w:hanging="360"/>
      </w:pPr>
      <w:rPr>
        <w:rFonts w:hint="default"/>
      </w:rPr>
    </w:lvl>
    <w:lvl w:ilvl="7">
      <w:start w:val="0"/>
      <w:numFmt w:val="bullet"/>
      <w:lvlText w:val="•"/>
      <w:lvlJc w:val="left"/>
      <w:pPr>
        <w:ind w:left="4890" w:hanging="360"/>
      </w:pPr>
      <w:rPr>
        <w:rFonts w:hint="default"/>
      </w:rPr>
    </w:lvl>
    <w:lvl w:ilvl="8">
      <w:start w:val="0"/>
      <w:numFmt w:val="bullet"/>
      <w:lvlText w:val="•"/>
      <w:lvlJc w:val="left"/>
      <w:pPr>
        <w:ind w:left="5472" w:hanging="360"/>
      </w:pPr>
      <w:rPr>
        <w:rFonts w:hint="default"/>
      </w:rPr>
    </w:lvl>
  </w:abstractNum>
  <w:abstractNum w:abstractNumId="3">
    <w:multiLevelType w:val="hybridMultilevel"/>
    <w:lvl w:ilvl="0">
      <w:start w:val="1"/>
      <w:numFmt w:val="lowerLetter"/>
      <w:lvlText w:val="%1)"/>
      <w:lvlJc w:val="left"/>
      <w:pPr>
        <w:ind w:left="739" w:hanging="247"/>
        <w:jc w:val="left"/>
      </w:pPr>
      <w:rPr>
        <w:rFonts w:hint="default"/>
        <w:spacing w:val="-1"/>
        <w:u w:val="single" w:color="000000"/>
      </w:rPr>
    </w:lvl>
    <w:lvl w:ilvl="1">
      <w:start w:val="1"/>
      <w:numFmt w:val="lowerRoman"/>
      <w:lvlText w:val="%2)"/>
      <w:lvlJc w:val="left"/>
      <w:pPr>
        <w:ind w:left="1572" w:hanging="360"/>
        <w:jc w:val="left"/>
      </w:pPr>
      <w:rPr>
        <w:rFonts w:hint="default" w:ascii="Times New Roman" w:hAnsi="Times New Roman" w:eastAsia="Times New Roman" w:cs="Times New Roman"/>
        <w:spacing w:val="-3"/>
        <w:w w:val="100"/>
        <w:sz w:val="24"/>
        <w:szCs w:val="24"/>
      </w:rPr>
    </w:lvl>
    <w:lvl w:ilvl="2">
      <w:start w:val="0"/>
      <w:numFmt w:val="bullet"/>
      <w:lvlText w:val="•"/>
      <w:lvlJc w:val="left"/>
      <w:pPr>
        <w:ind w:left="3051" w:hanging="360"/>
      </w:pPr>
      <w:rPr>
        <w:rFonts w:hint="default"/>
      </w:rPr>
    </w:lvl>
    <w:lvl w:ilvl="3">
      <w:start w:val="0"/>
      <w:numFmt w:val="bullet"/>
      <w:lvlText w:val="•"/>
      <w:lvlJc w:val="left"/>
      <w:pPr>
        <w:ind w:left="4522" w:hanging="360"/>
      </w:pPr>
      <w:rPr>
        <w:rFonts w:hint="default"/>
      </w:rPr>
    </w:lvl>
    <w:lvl w:ilvl="4">
      <w:start w:val="0"/>
      <w:numFmt w:val="bullet"/>
      <w:lvlText w:val="•"/>
      <w:lvlJc w:val="left"/>
      <w:pPr>
        <w:ind w:left="5993" w:hanging="360"/>
      </w:pPr>
      <w:rPr>
        <w:rFonts w:hint="default"/>
      </w:rPr>
    </w:lvl>
    <w:lvl w:ilvl="5">
      <w:start w:val="0"/>
      <w:numFmt w:val="bullet"/>
      <w:lvlText w:val="•"/>
      <w:lvlJc w:val="left"/>
      <w:pPr>
        <w:ind w:left="7464" w:hanging="360"/>
      </w:pPr>
      <w:rPr>
        <w:rFonts w:hint="default"/>
      </w:rPr>
    </w:lvl>
    <w:lvl w:ilvl="6">
      <w:start w:val="0"/>
      <w:numFmt w:val="bullet"/>
      <w:lvlText w:val="•"/>
      <w:lvlJc w:val="left"/>
      <w:pPr>
        <w:ind w:left="8935" w:hanging="360"/>
      </w:pPr>
      <w:rPr>
        <w:rFonts w:hint="default"/>
      </w:rPr>
    </w:lvl>
    <w:lvl w:ilvl="7">
      <w:start w:val="0"/>
      <w:numFmt w:val="bullet"/>
      <w:lvlText w:val="•"/>
      <w:lvlJc w:val="left"/>
      <w:pPr>
        <w:ind w:left="10406" w:hanging="360"/>
      </w:pPr>
      <w:rPr>
        <w:rFonts w:hint="default"/>
      </w:rPr>
    </w:lvl>
    <w:lvl w:ilvl="8">
      <w:start w:val="0"/>
      <w:numFmt w:val="bullet"/>
      <w:lvlText w:val="•"/>
      <w:lvlJc w:val="left"/>
      <w:pPr>
        <w:ind w:left="11877" w:hanging="360"/>
      </w:pPr>
      <w:rPr>
        <w:rFonts w:hint="default"/>
      </w:rPr>
    </w:lvl>
  </w:abstractNum>
  <w:abstractNum w:abstractNumId="2">
    <w:multiLevelType w:val="hybridMultilevel"/>
    <w:lvl w:ilvl="0">
      <w:start w:val="1"/>
      <w:numFmt w:val="decimal"/>
      <w:lvlText w:val="%1"/>
      <w:lvlJc w:val="left"/>
      <w:pPr>
        <w:ind w:left="699" w:hanging="852"/>
        <w:jc w:val="left"/>
      </w:pPr>
      <w:rPr>
        <w:rFonts w:hint="default"/>
      </w:rPr>
    </w:lvl>
    <w:lvl w:ilvl="1">
      <w:start w:val="1"/>
      <w:numFmt w:val="decimal"/>
      <w:lvlText w:val="%1.%2"/>
      <w:lvlJc w:val="left"/>
      <w:pPr>
        <w:ind w:left="984" w:hanging="852"/>
        <w:jc w:val="left"/>
      </w:pPr>
      <w:rPr>
        <w:rFonts w:hint="default" w:ascii="Times New Roman" w:hAnsi="Times New Roman" w:eastAsia="Times New Roman" w:cs="Times New Roman"/>
        <w:b/>
        <w:bCs/>
        <w:spacing w:val="-1"/>
        <w:w w:val="100"/>
        <w:sz w:val="28"/>
        <w:szCs w:val="28"/>
      </w:rPr>
    </w:lvl>
    <w:lvl w:ilvl="2">
      <w:start w:val="0"/>
      <w:numFmt w:val="bullet"/>
      <w:lvlText w:val="-"/>
      <w:lvlJc w:val="left"/>
      <w:pPr>
        <w:ind w:left="852" w:hanging="360"/>
      </w:pPr>
      <w:rPr>
        <w:rFonts w:hint="default" w:ascii="Times New Roman" w:hAnsi="Times New Roman" w:eastAsia="Times New Roman" w:cs="Times New Roman"/>
        <w:spacing w:val="-3"/>
        <w:w w:val="100"/>
        <w:sz w:val="24"/>
        <w:szCs w:val="24"/>
      </w:rPr>
    </w:lvl>
    <w:lvl w:ilvl="3">
      <w:start w:val="0"/>
      <w:numFmt w:val="bullet"/>
      <w:lvlText w:val="•"/>
      <w:lvlJc w:val="left"/>
      <w:pPr>
        <w:ind w:left="2710" w:hanging="360"/>
      </w:pPr>
      <w:rPr>
        <w:rFonts w:hint="default"/>
      </w:rPr>
    </w:lvl>
    <w:lvl w:ilvl="4">
      <w:start w:val="0"/>
      <w:numFmt w:val="bullet"/>
      <w:lvlText w:val="•"/>
      <w:lvlJc w:val="left"/>
      <w:pPr>
        <w:ind w:left="4440" w:hanging="360"/>
      </w:pPr>
      <w:rPr>
        <w:rFonts w:hint="default"/>
      </w:rPr>
    </w:lvl>
    <w:lvl w:ilvl="5">
      <w:start w:val="0"/>
      <w:numFmt w:val="bullet"/>
      <w:lvlText w:val="•"/>
      <w:lvlJc w:val="left"/>
      <w:pPr>
        <w:ind w:left="6170" w:hanging="360"/>
      </w:pPr>
      <w:rPr>
        <w:rFonts w:hint="default"/>
      </w:rPr>
    </w:lvl>
    <w:lvl w:ilvl="6">
      <w:start w:val="0"/>
      <w:numFmt w:val="bullet"/>
      <w:lvlText w:val="•"/>
      <w:lvlJc w:val="left"/>
      <w:pPr>
        <w:ind w:left="7900" w:hanging="360"/>
      </w:pPr>
      <w:rPr>
        <w:rFonts w:hint="default"/>
      </w:rPr>
    </w:lvl>
    <w:lvl w:ilvl="7">
      <w:start w:val="0"/>
      <w:numFmt w:val="bullet"/>
      <w:lvlText w:val="•"/>
      <w:lvlJc w:val="left"/>
      <w:pPr>
        <w:ind w:left="9630" w:hanging="360"/>
      </w:pPr>
      <w:rPr>
        <w:rFonts w:hint="default"/>
      </w:rPr>
    </w:lvl>
    <w:lvl w:ilvl="8">
      <w:start w:val="0"/>
      <w:numFmt w:val="bullet"/>
      <w:lvlText w:val="•"/>
      <w:lvlJc w:val="left"/>
      <w:pPr>
        <w:ind w:left="11360" w:hanging="360"/>
      </w:pPr>
      <w:rPr>
        <w:rFonts w:hint="default"/>
      </w:rPr>
    </w:lvl>
  </w:abstractNum>
  <w:abstractNum w:abstractNumId="0">
    <w:multiLevelType w:val="hybridMultilevel"/>
    <w:lvl w:ilvl="0">
      <w:start w:val="1"/>
      <w:numFmt w:val="decimal"/>
      <w:lvlText w:val="%1"/>
      <w:lvlJc w:val="left"/>
      <w:pPr>
        <w:ind w:left="1808" w:hanging="440"/>
        <w:jc w:val="left"/>
      </w:pPr>
      <w:rPr>
        <w:rFonts w:hint="default" w:ascii="Times New Roman" w:hAnsi="Times New Roman" w:eastAsia="Times New Roman" w:cs="Times New Roman"/>
        <w:spacing w:val="-4"/>
        <w:w w:val="100"/>
        <w:sz w:val="24"/>
        <w:szCs w:val="24"/>
      </w:rPr>
    </w:lvl>
    <w:lvl w:ilvl="1">
      <w:start w:val="1"/>
      <w:numFmt w:val="decimal"/>
      <w:lvlText w:val="%1.%2"/>
      <w:lvlJc w:val="left"/>
      <w:pPr>
        <w:ind w:left="2907" w:hanging="879"/>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2900" w:hanging="879"/>
      </w:pPr>
      <w:rPr>
        <w:rFonts w:hint="default"/>
      </w:rPr>
    </w:lvl>
    <w:lvl w:ilvl="3">
      <w:start w:val="0"/>
      <w:numFmt w:val="bullet"/>
      <w:lvlText w:val="•"/>
      <w:lvlJc w:val="left"/>
      <w:pPr>
        <w:ind w:left="3910" w:hanging="879"/>
      </w:pPr>
      <w:rPr>
        <w:rFonts w:hint="default"/>
      </w:rPr>
    </w:lvl>
    <w:lvl w:ilvl="4">
      <w:start w:val="0"/>
      <w:numFmt w:val="bullet"/>
      <w:lvlText w:val="•"/>
      <w:lvlJc w:val="left"/>
      <w:pPr>
        <w:ind w:left="4920" w:hanging="879"/>
      </w:pPr>
      <w:rPr>
        <w:rFonts w:hint="default"/>
      </w:rPr>
    </w:lvl>
    <w:lvl w:ilvl="5">
      <w:start w:val="0"/>
      <w:numFmt w:val="bullet"/>
      <w:lvlText w:val="•"/>
      <w:lvlJc w:val="left"/>
      <w:pPr>
        <w:ind w:left="5930" w:hanging="879"/>
      </w:pPr>
      <w:rPr>
        <w:rFonts w:hint="default"/>
      </w:rPr>
    </w:lvl>
    <w:lvl w:ilvl="6">
      <w:start w:val="0"/>
      <w:numFmt w:val="bullet"/>
      <w:lvlText w:val="•"/>
      <w:lvlJc w:val="left"/>
      <w:pPr>
        <w:ind w:left="6940" w:hanging="879"/>
      </w:pPr>
      <w:rPr>
        <w:rFonts w:hint="default"/>
      </w:rPr>
    </w:lvl>
    <w:lvl w:ilvl="7">
      <w:start w:val="0"/>
      <w:numFmt w:val="bullet"/>
      <w:lvlText w:val="•"/>
      <w:lvlJc w:val="left"/>
      <w:pPr>
        <w:ind w:left="7950" w:hanging="879"/>
      </w:pPr>
      <w:rPr>
        <w:rFonts w:hint="default"/>
      </w:rPr>
    </w:lvl>
    <w:lvl w:ilvl="8">
      <w:start w:val="0"/>
      <w:numFmt w:val="bullet"/>
      <w:lvlText w:val="•"/>
      <w:lvlJc w:val="left"/>
      <w:pPr>
        <w:ind w:left="8960" w:hanging="879"/>
      </w:pPr>
      <w:rPr>
        <w:rFonts w:hint="default"/>
      </w:rPr>
    </w:lvl>
  </w:abstractNum>
  <w:num w:numId="2">
    <w:abstractNumId w:val="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01"/>
      <w:ind w:left="2247" w:hanging="439"/>
    </w:pPr>
    <w:rPr>
      <w:rFonts w:ascii="Times New Roman" w:hAnsi="Times New Roman" w:eastAsia="Times New Roman" w:cs="Times New Roman"/>
      <w:sz w:val="24"/>
      <w:szCs w:val="24"/>
    </w:rPr>
  </w:style>
  <w:style w:styleId="TOC2" w:type="paragraph">
    <w:name w:val="TOC 2"/>
    <w:basedOn w:val="Normal"/>
    <w:uiPriority w:val="1"/>
    <w:qFormat/>
    <w:pPr>
      <w:spacing w:before="137"/>
      <w:ind w:left="2028"/>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46"/>
      <w:ind w:left="984" w:hanging="852"/>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246"/>
      <w:ind w:left="852" w:hanging="360"/>
    </w:pPr>
    <w:rPr>
      <w:rFonts w:ascii="Times New Roman" w:hAnsi="Times New Roman" w:eastAsia="Times New Roman" w:cs="Times New Roman"/>
    </w:rPr>
  </w:style>
  <w:style w:styleId="TableParagraph" w:type="paragraph">
    <w:name w:val="Table Paragraph"/>
    <w:basedOn w:val="Normal"/>
    <w:uiPriority w:val="1"/>
    <w:qFormat/>
    <w:pPr>
      <w:ind w:left="11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http://ec.europa.eu/environment/gpp/buying_handbook_en.htm" TargetMode="External"/><Relationship Id="rId8" Type="http://schemas.openxmlformats.org/officeDocument/2006/relationships/hyperlink" Target="http://www.juntadeandalucia.es/medioambiente/cieloandaluzindice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terms:created xsi:type="dcterms:W3CDTF">2019-02-12T08:26:08Z</dcterms:created>
  <dcterms:modified xsi:type="dcterms:W3CDTF">2019-02-12T08:26:08Z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PDF CoDe 2018 4.7111.7111 (c) 2002-2018 European Commission</vt:lpwstr>
  </property>
  <property fmtid="{D5CDD505-2E9C-101B-9397-08002B2CF9AE}" pid="4" name="LastSaved">
    <vt:filetime>2019-02-12T00:00:00Z</vt:filetime>
  </property>
</Properties>
</file>